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360" w:lineRule="auto"/>
        <w:jc w:val="center"/>
        <w:textAlignment w:val="auto"/>
        <w:rPr>
          <w:rFonts w:ascii="黑体" w:hAnsi="黑体" w:eastAsia="黑体" w:cs="黑体"/>
          <w:sz w:val="36"/>
          <w:szCs w:val="36"/>
        </w:rPr>
      </w:pPr>
      <w:bookmarkStart w:id="7" w:name="_GoBack"/>
      <w:bookmarkEnd w:id="7"/>
      <w:r>
        <w:rPr>
          <w:rFonts w:hint="eastAsia" w:ascii="黑体" w:hAnsi="黑体" w:eastAsia="黑体" w:cs="黑体"/>
          <w:sz w:val="36"/>
          <w:szCs w:val="36"/>
        </w:rPr>
        <w:t>郑州电力职业技术学院</w:t>
      </w:r>
    </w:p>
    <w:p>
      <w:pPr>
        <w:keepNext w:val="0"/>
        <w:keepLines w:val="0"/>
        <w:pageBreakBefore w:val="0"/>
        <w:widowControl w:val="0"/>
        <w:kinsoku/>
        <w:wordWrap/>
        <w:topLinePunct w:val="0"/>
        <w:bidi w:val="0"/>
        <w:spacing w:line="360" w:lineRule="auto"/>
        <w:jc w:val="center"/>
        <w:textAlignment w:val="auto"/>
        <w:rPr>
          <w:rFonts w:ascii="黑体" w:hAnsi="黑体" w:eastAsia="黑体" w:cs="黑体"/>
          <w:sz w:val="36"/>
          <w:szCs w:val="36"/>
        </w:rPr>
      </w:pPr>
      <w:r>
        <w:rPr>
          <w:rFonts w:hint="eastAsia" w:ascii="黑体" w:hAnsi="黑体" w:eastAsia="黑体" w:cs="黑体"/>
          <w:sz w:val="36"/>
          <w:szCs w:val="36"/>
        </w:rPr>
        <w:t>关于开展202</w:t>
      </w:r>
      <w:r>
        <w:rPr>
          <w:rFonts w:hint="default" w:ascii="黑体" w:hAnsi="黑体" w:eastAsia="黑体" w:cs="黑体"/>
          <w:sz w:val="36"/>
          <w:szCs w:val="36"/>
          <w:lang w:val="en-US"/>
        </w:rPr>
        <w:t>3</w:t>
      </w:r>
      <w:r>
        <w:rPr>
          <w:rFonts w:hint="eastAsia" w:ascii="黑体" w:hAnsi="黑体" w:eastAsia="黑体" w:cs="黑体"/>
          <w:sz w:val="36"/>
          <w:szCs w:val="36"/>
        </w:rPr>
        <w:t>年</w:t>
      </w:r>
      <w:r>
        <w:rPr>
          <w:rFonts w:ascii="黑体" w:hAnsi="黑体" w:eastAsia="黑体" w:cs="黑体"/>
          <w:sz w:val="36"/>
          <w:szCs w:val="36"/>
        </w:rPr>
        <w:t>教学竞赛活动的通知</w:t>
      </w:r>
    </w:p>
    <w:p>
      <w:pPr>
        <w:keepNext w:val="0"/>
        <w:keepLines w:val="0"/>
        <w:pageBreakBefore w:val="0"/>
        <w:widowControl w:val="0"/>
        <w:kinsoku/>
        <w:wordWrap/>
        <w:topLinePunct w:val="0"/>
        <w:bidi w:val="0"/>
        <w:spacing w:line="440" w:lineRule="exact"/>
        <w:textAlignment w:val="auto"/>
        <w:rPr>
          <w:rFonts w:hint="eastAsia" w:ascii="仿宋" w:hAnsi="仿宋" w:eastAsia="仿宋" w:cs="仿宋"/>
          <w:sz w:val="30"/>
          <w:szCs w:val="30"/>
        </w:rPr>
      </w:pPr>
    </w:p>
    <w:p>
      <w:pPr>
        <w:keepNext w:val="0"/>
        <w:keepLines w:val="0"/>
        <w:pageBreakBefore w:val="0"/>
        <w:widowControl w:val="0"/>
        <w:kinsoku/>
        <w:wordWrap/>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各教学单位：</w:t>
      </w:r>
    </w:p>
    <w:p>
      <w:pPr>
        <w:pStyle w:val="2"/>
        <w:keepNext w:val="0"/>
        <w:keepLines w:val="0"/>
        <w:pageBreakBefore w:val="0"/>
        <w:widowControl w:val="0"/>
        <w:kinsoku/>
        <w:wordWrap/>
        <w:topLinePunct w:val="0"/>
        <w:bidi w:val="0"/>
        <w:spacing w:line="440" w:lineRule="exact"/>
        <w:ind w:firstLine="560" w:firstLineChars="200"/>
        <w:jc w:val="both"/>
        <w:textAlignment w:val="auto"/>
        <w:rPr>
          <w:rFonts w:ascii="仿宋" w:hAnsi="仿宋" w:eastAsia="仿宋" w:cs="仿宋"/>
          <w:color w:val="FF0000"/>
          <w:kern w:val="2"/>
          <w:sz w:val="28"/>
          <w:szCs w:val="28"/>
        </w:rPr>
      </w:pPr>
      <w:r>
        <w:rPr>
          <w:rFonts w:hint="eastAsia" w:ascii="仿宋" w:hAnsi="仿宋" w:eastAsia="仿宋" w:cs="仿宋"/>
          <w:sz w:val="28"/>
          <w:szCs w:val="28"/>
        </w:rPr>
        <w:t>根据河南省教育厅办公室《关于开展 202</w:t>
      </w:r>
      <w:r>
        <w:rPr>
          <w:rFonts w:hint="default" w:ascii="仿宋" w:hAnsi="仿宋" w:eastAsia="仿宋" w:cs="仿宋"/>
          <w:sz w:val="28"/>
          <w:szCs w:val="28"/>
          <w:lang w:val="en-US"/>
        </w:rPr>
        <w:t>3</w:t>
      </w:r>
      <w:r>
        <w:rPr>
          <w:rFonts w:hint="eastAsia" w:ascii="仿宋" w:hAnsi="仿宋" w:eastAsia="仿宋" w:cs="仿宋"/>
          <w:sz w:val="28"/>
          <w:szCs w:val="28"/>
        </w:rPr>
        <w:t>年河南省高等职业教育教学竞赛活动的通知》（教办职成〔202</w:t>
      </w:r>
      <w:r>
        <w:rPr>
          <w:rFonts w:hint="default" w:ascii="仿宋" w:hAnsi="仿宋" w:eastAsia="仿宋" w:cs="仿宋"/>
          <w:sz w:val="28"/>
          <w:szCs w:val="28"/>
          <w:lang w:val="en-US"/>
        </w:rPr>
        <w:t>3</w:t>
      </w:r>
      <w:r>
        <w:rPr>
          <w:rFonts w:hint="eastAsia" w:ascii="仿宋" w:hAnsi="仿宋" w:eastAsia="仿宋" w:cs="仿宋"/>
          <w:sz w:val="28"/>
          <w:szCs w:val="28"/>
        </w:rPr>
        <w:t>〕</w:t>
      </w:r>
      <w:r>
        <w:rPr>
          <w:rFonts w:hint="default" w:ascii="仿宋" w:hAnsi="仿宋" w:eastAsia="仿宋" w:cs="仿宋"/>
          <w:sz w:val="28"/>
          <w:szCs w:val="28"/>
          <w:lang w:val="en-US"/>
        </w:rPr>
        <w:t>123</w:t>
      </w:r>
      <w:r>
        <w:rPr>
          <w:rFonts w:hint="eastAsia" w:ascii="仿宋" w:hAnsi="仿宋" w:eastAsia="仿宋" w:cs="仿宋"/>
          <w:sz w:val="28"/>
          <w:szCs w:val="28"/>
        </w:rPr>
        <w:t xml:space="preserve"> 号）文件要求，</w:t>
      </w:r>
      <w:r>
        <w:rPr>
          <w:rFonts w:hint="eastAsia" w:ascii="仿宋" w:hAnsi="仿宋" w:eastAsia="仿宋" w:cs="仿宋"/>
          <w:sz w:val="28"/>
          <w:szCs w:val="28"/>
          <w:lang w:eastAsia="zh-CN"/>
        </w:rPr>
        <w:t>为深入贯彻党的二十大精神，</w:t>
      </w:r>
      <w:r>
        <w:rPr>
          <w:rFonts w:hint="eastAsia" w:ascii="仿宋" w:hAnsi="仿宋" w:eastAsia="仿宋" w:cs="仿宋"/>
          <w:sz w:val="28"/>
          <w:szCs w:val="28"/>
        </w:rPr>
        <w:t>落实立德树人根本任务，深化“三教改革”，“岗课赛证”综合育人，全面促进教师教学能力提升，增强职业技术教育适应性，现就开展202</w:t>
      </w:r>
      <w:r>
        <w:rPr>
          <w:rFonts w:hint="default" w:ascii="仿宋" w:hAnsi="仿宋" w:eastAsia="仿宋" w:cs="仿宋"/>
          <w:sz w:val="28"/>
          <w:szCs w:val="28"/>
          <w:lang w:val="en-US"/>
        </w:rPr>
        <w:t>3</w:t>
      </w:r>
      <w:r>
        <w:rPr>
          <w:rFonts w:hint="eastAsia" w:ascii="仿宋" w:hAnsi="仿宋" w:eastAsia="仿宋" w:cs="仿宋"/>
          <w:sz w:val="28"/>
          <w:szCs w:val="28"/>
        </w:rPr>
        <w:t>年校级教学竞赛活动有关事项通知如下。</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一、教学竞赛安排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（一）竞赛设置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1.202</w:t>
      </w:r>
      <w:r>
        <w:rPr>
          <w:rFonts w:hint="default" w:ascii="仿宋" w:hAnsi="仿宋" w:eastAsia="仿宋" w:cs="仿宋"/>
          <w:sz w:val="28"/>
          <w:szCs w:val="28"/>
          <w:lang w:val="en-US"/>
        </w:rPr>
        <w:t>3</w:t>
      </w:r>
      <w:r>
        <w:rPr>
          <w:rFonts w:hint="eastAsia" w:ascii="仿宋" w:hAnsi="仿宋" w:eastAsia="仿宋" w:cs="仿宋"/>
          <w:sz w:val="28"/>
          <w:szCs w:val="28"/>
        </w:rPr>
        <w:t xml:space="preserve"> 年校级教育教学能力大赛（简称：教学能力大赛）设3个组别</w:t>
      </w:r>
      <w:r>
        <w:rPr>
          <w:rFonts w:hint="default" w:ascii="仿宋" w:hAnsi="仿宋" w:eastAsia="仿宋" w:cs="仿宋"/>
          <w:sz w:val="28"/>
          <w:szCs w:val="28"/>
          <w:lang w:val="en-US"/>
        </w:rPr>
        <w:t>:</w:t>
      </w:r>
      <w:r>
        <w:rPr>
          <w:rFonts w:hint="eastAsia" w:ascii="仿宋" w:hAnsi="仿宋" w:eastAsia="仿宋" w:cs="仿宋"/>
          <w:sz w:val="28"/>
          <w:szCs w:val="28"/>
        </w:rPr>
        <w:t>公共基础课程组、</w:t>
      </w:r>
      <w:r>
        <w:rPr>
          <w:rFonts w:hint="eastAsia" w:ascii="仿宋" w:hAnsi="仿宋" w:eastAsia="仿宋" w:cs="仿宋"/>
          <w:sz w:val="28"/>
          <w:szCs w:val="28"/>
          <w:lang w:eastAsia="zh-CN"/>
        </w:rPr>
        <w:t>理工农医类课</w:t>
      </w:r>
      <w:r>
        <w:rPr>
          <w:rFonts w:hint="eastAsia" w:ascii="仿宋" w:hAnsi="仿宋" w:eastAsia="仿宋" w:cs="仿宋"/>
          <w:sz w:val="28"/>
          <w:szCs w:val="28"/>
        </w:rPr>
        <w:t>程组、</w:t>
      </w:r>
      <w:r>
        <w:rPr>
          <w:rFonts w:hint="eastAsia" w:ascii="仿宋" w:hAnsi="仿宋" w:eastAsia="仿宋" w:cs="仿宋"/>
          <w:sz w:val="28"/>
          <w:szCs w:val="28"/>
          <w:lang w:eastAsia="zh-CN"/>
        </w:rPr>
        <w:t>文史财经类</w:t>
      </w:r>
      <w:r>
        <w:rPr>
          <w:rFonts w:hint="eastAsia" w:ascii="仿宋" w:hAnsi="仿宋" w:eastAsia="仿宋" w:cs="仿宋"/>
          <w:sz w:val="28"/>
          <w:szCs w:val="28"/>
        </w:rPr>
        <w:t>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2.202</w:t>
      </w:r>
      <w:r>
        <w:rPr>
          <w:rFonts w:hint="default" w:ascii="仿宋" w:hAnsi="仿宋" w:eastAsia="仿宋" w:cs="仿宋"/>
          <w:sz w:val="28"/>
          <w:szCs w:val="28"/>
          <w:lang w:val="en-US"/>
        </w:rPr>
        <w:t>3</w:t>
      </w:r>
      <w:r>
        <w:rPr>
          <w:rFonts w:hint="eastAsia" w:ascii="仿宋" w:hAnsi="仿宋" w:eastAsia="仿宋" w:cs="仿宋"/>
          <w:sz w:val="28"/>
          <w:szCs w:val="28"/>
        </w:rPr>
        <w:t>年校级课</w:t>
      </w:r>
      <w:r>
        <w:rPr>
          <w:rFonts w:hint="eastAsia" w:ascii="仿宋" w:hAnsi="仿宋" w:eastAsia="仿宋" w:cs="仿宋"/>
          <w:sz w:val="28"/>
          <w:szCs w:val="28"/>
          <w:lang w:eastAsia="zh-CN"/>
        </w:rPr>
        <w:t>堂</w:t>
      </w:r>
      <w:r>
        <w:rPr>
          <w:rFonts w:hint="eastAsia" w:ascii="仿宋" w:hAnsi="仿宋" w:eastAsia="仿宋" w:cs="仿宋"/>
          <w:sz w:val="28"/>
          <w:szCs w:val="28"/>
        </w:rPr>
        <w:t>教学创新大赛（简称：</w:t>
      </w:r>
      <w:r>
        <w:rPr>
          <w:rFonts w:hint="eastAsia" w:ascii="仿宋" w:hAnsi="仿宋" w:eastAsia="仿宋" w:cs="仿宋"/>
          <w:sz w:val="28"/>
          <w:szCs w:val="28"/>
          <w:lang w:eastAsia="zh-CN"/>
        </w:rPr>
        <w:t>课堂创新</w:t>
      </w:r>
      <w:r>
        <w:rPr>
          <w:rFonts w:hint="eastAsia" w:ascii="仿宋" w:hAnsi="仿宋" w:eastAsia="仿宋" w:cs="仿宋"/>
          <w:sz w:val="28"/>
          <w:szCs w:val="28"/>
        </w:rPr>
        <w:t>大赛）设 3个组别</w:t>
      </w:r>
      <w:r>
        <w:rPr>
          <w:rFonts w:hint="eastAsia" w:ascii="仿宋" w:hAnsi="仿宋" w:eastAsia="仿宋" w:cs="仿宋"/>
          <w:sz w:val="28"/>
          <w:szCs w:val="28"/>
          <w:lang w:eastAsia="zh-CN"/>
        </w:rPr>
        <w:t>：</w:t>
      </w:r>
      <w:r>
        <w:rPr>
          <w:rFonts w:hint="eastAsia" w:ascii="仿宋" w:hAnsi="仿宋" w:eastAsia="仿宋" w:cs="仿宋"/>
          <w:sz w:val="28"/>
          <w:szCs w:val="28"/>
        </w:rPr>
        <w:t>公共基础课程组、</w:t>
      </w:r>
      <w:r>
        <w:rPr>
          <w:rFonts w:hint="eastAsia" w:ascii="仿宋" w:hAnsi="仿宋" w:eastAsia="仿宋" w:cs="仿宋"/>
          <w:sz w:val="28"/>
          <w:szCs w:val="28"/>
          <w:lang w:eastAsia="zh-CN"/>
        </w:rPr>
        <w:t>理工农医类课</w:t>
      </w:r>
      <w:r>
        <w:rPr>
          <w:rFonts w:hint="eastAsia" w:ascii="仿宋" w:hAnsi="仿宋" w:eastAsia="仿宋" w:cs="仿宋"/>
          <w:sz w:val="28"/>
          <w:szCs w:val="28"/>
        </w:rPr>
        <w:t>程组、</w:t>
      </w:r>
      <w:r>
        <w:rPr>
          <w:rFonts w:hint="eastAsia" w:ascii="仿宋" w:hAnsi="仿宋" w:eastAsia="仿宋" w:cs="仿宋"/>
          <w:sz w:val="28"/>
          <w:szCs w:val="28"/>
          <w:lang w:eastAsia="zh-CN"/>
        </w:rPr>
        <w:t>文史财经类</w:t>
      </w:r>
      <w:r>
        <w:rPr>
          <w:rFonts w:hint="eastAsia" w:ascii="仿宋" w:hAnsi="仿宋" w:eastAsia="仿宋" w:cs="仿宋"/>
          <w:sz w:val="28"/>
          <w:szCs w:val="28"/>
        </w:rPr>
        <w:t>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（二）参加对象。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教学能力大赛为团队赛，</w:t>
      </w:r>
      <w:r>
        <w:rPr>
          <w:rFonts w:hint="eastAsia" w:ascii="仿宋" w:hAnsi="仿宋" w:eastAsia="仿宋" w:cs="仿宋"/>
          <w:sz w:val="28"/>
          <w:szCs w:val="28"/>
          <w:lang w:eastAsia="zh-CN"/>
        </w:rPr>
        <w:t>课堂创新</w:t>
      </w:r>
      <w:r>
        <w:rPr>
          <w:rFonts w:hint="eastAsia" w:ascii="仿宋" w:hAnsi="仿宋" w:eastAsia="仿宋" w:cs="仿宋"/>
          <w:sz w:val="28"/>
          <w:szCs w:val="28"/>
        </w:rPr>
        <w:t>大赛为个人赛。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学校在职教师（包括教龄2年及以上的在编在岗教师、签订正式聘用合同并连续全职在校工作2年以上的在聘教师）均可参赛。鼓励行业企业人员参与教学竞赛活动，作为兼职教师与学校教师开展校企“双元”教学，促进校企“双元”育人。</w:t>
      </w:r>
      <w:r>
        <w:rPr>
          <w:rFonts w:hint="eastAsia" w:ascii="仿宋" w:hAnsi="仿宋" w:eastAsia="仿宋" w:cs="仿宋"/>
          <w:sz w:val="28"/>
          <w:szCs w:val="28"/>
          <w:lang w:eastAsia="zh-CN"/>
        </w:rPr>
        <w:t>鼓励校级教学创新团队负责人参加教学竞赛活动。</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二、教学竞赛组织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教学竞赛活动包括教学单位竞赛、校级竞赛。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（一）教学单位竞赛。各教学单位都要开展教学竞赛活动，</w:t>
      </w:r>
      <w:r>
        <w:rPr>
          <w:rFonts w:hint="eastAsia" w:ascii="仿宋" w:hAnsi="仿宋" w:eastAsia="仿宋" w:cs="仿宋"/>
          <w:sz w:val="28"/>
          <w:szCs w:val="28"/>
          <w:lang w:eastAsia="zh-CN"/>
        </w:rPr>
        <w:t>符合条件且</w:t>
      </w:r>
      <w:r>
        <w:rPr>
          <w:rFonts w:hint="eastAsia" w:ascii="仿宋" w:hAnsi="仿宋" w:eastAsia="仿宋" w:cs="仿宋"/>
          <w:sz w:val="28"/>
          <w:szCs w:val="28"/>
          <w:lang w:val="en-US" w:eastAsia="zh-CN"/>
        </w:rPr>
        <w:t>2021-2022年未参赛的教师必须参加2023年教学竞赛，</w:t>
      </w:r>
      <w:r>
        <w:rPr>
          <w:rFonts w:hint="eastAsia" w:ascii="仿宋" w:hAnsi="仿宋" w:eastAsia="仿宋" w:cs="仿宋"/>
          <w:sz w:val="28"/>
          <w:szCs w:val="28"/>
        </w:rPr>
        <w:t>努力实现全员覆盖。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各教学单位要长期、全面规划教师队伍建设，积极动员全体教师参加</w:t>
      </w:r>
      <w:r>
        <w:rPr>
          <w:rFonts w:hint="eastAsia" w:ascii="仿宋" w:hAnsi="仿宋" w:eastAsia="仿宋" w:cs="仿宋"/>
          <w:sz w:val="28"/>
          <w:szCs w:val="28"/>
          <w:lang w:eastAsia="zh-CN"/>
        </w:rPr>
        <w:t>本次教学</w:t>
      </w:r>
      <w:r>
        <w:rPr>
          <w:rFonts w:hint="eastAsia" w:ascii="仿宋" w:hAnsi="仿宋" w:eastAsia="仿宋" w:cs="仿宋"/>
          <w:sz w:val="28"/>
          <w:szCs w:val="28"/>
        </w:rPr>
        <w:t>竞赛。通过科学设计制定适应本单位实际情况的教学单位教学竞赛规划和实施方案，实现全员参与，提高全体教师专业素质，同时降低教学竞赛对日常教学活动的影响，形成富有职业教育类型特色的全面推进教育教学改革的良好局面，推动教育教学质量提升。鼓励合理安排不同专业、不同年龄段、不同发展阶段的教师，采取梯队、分层等方式参加校级竞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各教学单位要严格按照新冠疫情防控常态化要求，统筹做好 202</w:t>
      </w:r>
      <w:r>
        <w:rPr>
          <w:rFonts w:hint="eastAsia" w:ascii="仿宋" w:hAnsi="仿宋" w:eastAsia="仿宋" w:cs="仿宋"/>
          <w:sz w:val="28"/>
          <w:szCs w:val="28"/>
          <w:lang w:val="en-US" w:eastAsia="zh-CN"/>
        </w:rPr>
        <w:t>3</w:t>
      </w:r>
      <w:r>
        <w:rPr>
          <w:rFonts w:hint="eastAsia" w:ascii="仿宋" w:hAnsi="仿宋" w:eastAsia="仿宋" w:cs="仿宋"/>
          <w:sz w:val="28"/>
          <w:szCs w:val="28"/>
        </w:rPr>
        <w:t>年教学竞赛活动各项工作。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（二）校级竞赛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教学能力大赛校级竞赛由网上初赛、现场竞赛、成果转化等组成。校级竞赛方案见附件。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1.网上初赛。由教学单位报送参赛作品，学校组织专家网上评选的方式进行。网上初赛结果按照40%的比例进入现场竞赛。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2.现场竞赛。</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5日前后</w:t>
      </w:r>
      <w:r>
        <w:rPr>
          <w:rFonts w:hint="eastAsia" w:ascii="仿宋" w:hAnsi="仿宋" w:eastAsia="仿宋" w:cs="仿宋"/>
          <w:sz w:val="28"/>
          <w:szCs w:val="28"/>
        </w:rPr>
        <w:t>举办。学校将组织参赛教师开展赛前培训，明确规范要求，提升参赛质量。赛后及时总结、研讨，分享成果，促进全体教师共同提高。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成果转化。主要包括：学校网站开辟专栏，对网上初评的优秀参赛作品进行网上展示；对现场竞赛的优秀视频作品进行网上分享；赛后举办竞赛研讨会，总结经验，查找问题，改进赛事。根据实际情况，在下半年适时组织部分校级竞赛一等奖获得者开展全校经验交流活动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课堂创新</w:t>
      </w:r>
      <w:r>
        <w:rPr>
          <w:rFonts w:hint="eastAsia" w:ascii="仿宋" w:hAnsi="仿宋" w:eastAsia="仿宋" w:cs="仿宋"/>
          <w:sz w:val="28"/>
          <w:szCs w:val="28"/>
        </w:rPr>
        <w:t>大赛校级竞赛于</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eastAsia="zh-CN"/>
        </w:rPr>
        <w:t>中下旬</w:t>
      </w:r>
      <w:r>
        <w:rPr>
          <w:rFonts w:hint="eastAsia" w:ascii="仿宋" w:hAnsi="仿宋" w:eastAsia="仿宋" w:cs="仿宋"/>
          <w:sz w:val="28"/>
          <w:szCs w:val="28"/>
        </w:rPr>
        <w:t>举办。由教学单位报名，直接进行现场竞赛。校级竞赛方案见附件，赛后适时举办竞赛总结研讨会。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校级竞赛时间和组织形式，如遇新冠疫情情况及我校相关重要工作要求，将进行适当调整并及时通知。</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三、校级竞赛评判与奖励</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（一）竞赛评判。校级竞赛由学校聘请职教专家、竞赛专家、行业企业专家等，负责竞赛评判工作。同时，加强竞赛事务仲裁、监督工作。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（二）奖项设置。校级竞赛的获奖等次与比例分别为：每个竞赛组别设一等奖 15%、二等奖 25%、三等奖 30%。校级竞赛一、二等奖根据现场竞赛成绩排序确定，三等奖根据网络初评成绩排序确定。为保证竞赛质量，比赛评奖采取宁缺毋滥的原则，必要时适度调整奖项等级所占比例（某一奖项等级可减少名额或空缺）。一等奖以上获奖教师可单列指标申报校级教学改革研究与实践项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教学能力大赛获奖教师团队，学校颁发获奖证书和奖金（一等奖2000元，二等奖1000元，三等奖500元），获得一等奖的作品推荐参加河南省高等职业教育教学能力大赛。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30"/>
          <w:szCs w:val="30"/>
        </w:rPr>
      </w:pPr>
      <w:r>
        <w:rPr>
          <w:rFonts w:hint="eastAsia" w:ascii="仿宋" w:hAnsi="仿宋" w:eastAsia="仿宋" w:cs="仿宋"/>
          <w:sz w:val="28"/>
          <w:szCs w:val="28"/>
          <w:lang w:eastAsia="zh-CN"/>
        </w:rPr>
        <w:t>课堂创新</w:t>
      </w:r>
      <w:r>
        <w:rPr>
          <w:rFonts w:hint="eastAsia" w:ascii="仿宋" w:hAnsi="仿宋" w:eastAsia="仿宋" w:cs="仿宋"/>
          <w:sz w:val="28"/>
          <w:szCs w:val="28"/>
        </w:rPr>
        <w:t>大赛获奖教师学校颁发的获奖证书和奖金（一等奖800元，二等奖500元，三等奖300元），每组竞赛成绩前两名推荐参加河南省高等职业教育</w:t>
      </w:r>
      <w:r>
        <w:rPr>
          <w:rFonts w:hint="eastAsia" w:ascii="仿宋" w:hAnsi="仿宋" w:eastAsia="仿宋" w:cs="仿宋"/>
          <w:sz w:val="28"/>
          <w:szCs w:val="28"/>
          <w:lang w:eastAsia="zh-CN"/>
        </w:rPr>
        <w:t>课堂</w:t>
      </w:r>
      <w:r>
        <w:rPr>
          <w:rFonts w:hint="eastAsia" w:ascii="仿宋" w:hAnsi="仿宋" w:eastAsia="仿宋" w:cs="仿宋"/>
          <w:sz w:val="28"/>
          <w:szCs w:val="28"/>
        </w:rPr>
        <w:t>创新大赛。</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四、保障措施</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1.学校把本次教师教学竞赛活动作为实施素质教育、提高教师队伍素质的一项重要工作来抓。各教学单位要切实加强领导，密切配合，形成合力。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2.学校纪委全程监督整个竞赛活动。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3.获奖教师在骨干教师评选、职称评审中在同等条件下给予优先考虑。</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各类教学竞赛活动未确定的相关事宜另行通知。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联系人：杨春暖  电话：62111329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"mailto:253060604@qq.com。" </w:instrText>
      </w:r>
      <w:r>
        <w:rPr>
          <w:rFonts w:hint="eastAsia" w:ascii="仿宋" w:hAnsi="仿宋" w:eastAsia="仿宋" w:cs="仿宋"/>
          <w:sz w:val="28"/>
          <w:szCs w:val="28"/>
        </w:rPr>
        <w:fldChar w:fldCharType="separate"/>
      </w:r>
      <w:r>
        <w:rPr>
          <w:rFonts w:hint="eastAsia" w:ascii="仿宋" w:hAnsi="仿宋" w:eastAsia="仿宋" w:cs="仿宋"/>
          <w:sz w:val="28"/>
          <w:szCs w:val="28"/>
        </w:rPr>
        <w:t>1638639850@qq.com。</w:t>
      </w:r>
      <w:r>
        <w:rPr>
          <w:rFonts w:hint="eastAsia" w:ascii="仿宋" w:hAnsi="仿宋" w:eastAsia="仿宋" w:cs="仿宋"/>
          <w:sz w:val="28"/>
          <w:szCs w:val="28"/>
        </w:rPr>
        <w:fldChar w:fldCharType="end"/>
      </w:r>
    </w:p>
    <w:p>
      <w:pPr>
        <w:keepNext w:val="0"/>
        <w:keepLines w:val="0"/>
        <w:pageBreakBefore w:val="0"/>
        <w:widowControl w:val="0"/>
        <w:kinsoku/>
        <w:wordWrap/>
        <w:topLinePunct w:val="0"/>
        <w:bidi w:val="0"/>
        <w:spacing w:line="440"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附件：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1.郑州电力职业技术学院202</w:t>
      </w:r>
      <w:r>
        <w:rPr>
          <w:rFonts w:hint="eastAsia" w:ascii="仿宋" w:hAnsi="仿宋" w:eastAsia="仿宋" w:cs="仿宋"/>
          <w:sz w:val="28"/>
          <w:szCs w:val="28"/>
          <w:lang w:val="en-US" w:eastAsia="zh-CN"/>
        </w:rPr>
        <w:t>3</w:t>
      </w:r>
      <w:r>
        <w:rPr>
          <w:rFonts w:hint="eastAsia" w:ascii="仿宋" w:hAnsi="仿宋" w:eastAsia="仿宋" w:cs="仿宋"/>
          <w:sz w:val="28"/>
          <w:szCs w:val="28"/>
        </w:rPr>
        <w:t>年教学能力大赛活动方案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郑州电力职业技术学院</w:t>
      </w:r>
      <w:r>
        <w:rPr>
          <w:rFonts w:hint="eastAsia" w:ascii="仿宋" w:hAnsi="仿宋" w:eastAsia="仿宋" w:cs="仿宋"/>
          <w:sz w:val="28"/>
          <w:szCs w:val="28"/>
          <w:lang w:val="en-US" w:eastAsia="zh-CN"/>
        </w:rPr>
        <w:t>2023年课堂教学创新大赛活动方案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ascii="仿宋" w:hAnsi="仿宋" w:eastAsia="仿宋" w:cs="仿宋"/>
          <w:sz w:val="28"/>
          <w:szCs w:val="28"/>
        </w:rPr>
      </w:pPr>
      <w:r>
        <w:rPr>
          <w:rFonts w:hint="eastAsia" w:ascii="仿宋" w:hAnsi="仿宋" w:eastAsia="仿宋" w:cs="仿宋"/>
          <w:sz w:val="28"/>
          <w:szCs w:val="28"/>
        </w:rPr>
        <w:t>郑州电力职业技术学院</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100"/>
        <w:textAlignment w:val="auto"/>
        <w:rPr>
          <w:rFonts w:ascii="仿宋" w:hAnsi="仿宋" w:eastAsia="仿宋" w:cs="仿宋"/>
          <w:color w:val="auto"/>
          <w:kern w:val="2"/>
          <w:sz w:val="30"/>
          <w:szCs w:val="30"/>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pPr>
        <w:keepNext w:val="0"/>
        <w:keepLines w:val="0"/>
        <w:pageBreakBefore w:val="0"/>
        <w:widowControl w:val="0"/>
        <w:kinsoku/>
        <w:wordWrap/>
        <w:topLinePunct w:val="0"/>
        <w:bidi w:val="0"/>
        <w:spacing w:line="440" w:lineRule="exact"/>
        <w:textAlignment w:val="auto"/>
        <w:rPr>
          <w:rFonts w:ascii="黑体" w:hAnsi="黑体" w:eastAsia="黑体" w:cs="黑体"/>
          <w:sz w:val="36"/>
          <w:szCs w:val="36"/>
        </w:rPr>
      </w:pPr>
      <w:r>
        <w:rPr>
          <w:rFonts w:hint="eastAsia" w:ascii="黑体" w:hAnsi="黑体" w:eastAsia="黑体" w:cs="黑体"/>
          <w:sz w:val="36"/>
          <w:szCs w:val="36"/>
        </w:rPr>
        <w:br w:type="page"/>
      </w:r>
    </w:p>
    <w:p>
      <w:pPr>
        <w:keepNext w:val="0"/>
        <w:keepLines w:val="0"/>
        <w:pageBreakBefore w:val="0"/>
        <w:widowControl w:val="0"/>
        <w:kinsoku/>
        <w:wordWrap/>
        <w:topLinePunct w:val="0"/>
        <w:bidi w:val="0"/>
        <w:spacing w:line="440" w:lineRule="exact"/>
        <w:textAlignment w:val="auto"/>
        <w:rPr>
          <w:rFonts w:ascii="黑体" w:hAnsi="黑体" w:eastAsia="黑体" w:cs="黑体"/>
          <w:sz w:val="36"/>
          <w:szCs w:val="36"/>
        </w:rPr>
      </w:pPr>
      <w:r>
        <w:rPr>
          <w:rFonts w:hint="eastAsia" w:ascii="黑体" w:hAnsi="黑体" w:eastAsia="黑体" w:cs="黑体"/>
          <w:sz w:val="36"/>
          <w:szCs w:val="36"/>
        </w:rPr>
        <w:t>附件1</w:t>
      </w:r>
    </w:p>
    <w:p>
      <w:pPr>
        <w:keepNext w:val="0"/>
        <w:keepLines w:val="0"/>
        <w:pageBreakBefore w:val="0"/>
        <w:widowControl w:val="0"/>
        <w:kinsoku/>
        <w:wordWrap/>
        <w:topLinePunct w:val="0"/>
        <w:bidi w:val="0"/>
        <w:spacing w:line="440" w:lineRule="exact"/>
        <w:jc w:val="center"/>
        <w:textAlignment w:val="auto"/>
        <w:rPr>
          <w:rFonts w:ascii="黑体" w:hAnsi="黑体" w:eastAsia="黑体" w:cs="黑体"/>
          <w:sz w:val="36"/>
          <w:szCs w:val="36"/>
        </w:rPr>
      </w:pPr>
      <w:r>
        <w:rPr>
          <w:rFonts w:hint="eastAsia" w:ascii="黑体" w:hAnsi="黑体" w:eastAsia="黑体" w:cs="黑体"/>
          <w:sz w:val="36"/>
          <w:szCs w:val="36"/>
        </w:rPr>
        <w:t>郑州电力职业技术学院</w:t>
      </w:r>
    </w:p>
    <w:p>
      <w:pPr>
        <w:keepNext w:val="0"/>
        <w:keepLines w:val="0"/>
        <w:pageBreakBefore w:val="0"/>
        <w:widowControl w:val="0"/>
        <w:kinsoku/>
        <w:wordWrap/>
        <w:topLinePunct w:val="0"/>
        <w:bidi w:val="0"/>
        <w:spacing w:line="440" w:lineRule="exact"/>
        <w:jc w:val="center"/>
        <w:textAlignment w:val="auto"/>
        <w:rPr>
          <w:rFonts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年教学能力大赛活动方案</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ascii="仿宋" w:hAnsi="仿宋" w:eastAsia="仿宋" w:cs="仿宋"/>
          <w:color w:val="auto"/>
          <w:kern w:val="2"/>
          <w:sz w:val="30"/>
          <w:szCs w:val="30"/>
        </w:rPr>
      </w:pPr>
      <w:r>
        <w:rPr>
          <w:rFonts w:hint="eastAsia" w:ascii="仿宋" w:hAnsi="仿宋" w:eastAsia="仿宋" w:cs="仿宋"/>
          <w:color w:val="auto"/>
          <w:kern w:val="2"/>
          <w:sz w:val="28"/>
          <w:szCs w:val="28"/>
        </w:rPr>
        <w:t>为深入贯彻习近平总书记关于职业教育的重要指示，落实全国和全省职业教育大会精神，根据河南省教育厅办公室《关于开展 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rPr>
        <w:t xml:space="preserve"> 年河南省高等职业教育教学竞赛活动的通知》（教办职成〔202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val="en-US" w:eastAsia="zh-CN"/>
        </w:rPr>
        <w:t>123</w:t>
      </w:r>
      <w:r>
        <w:rPr>
          <w:rFonts w:hint="eastAsia" w:ascii="仿宋" w:hAnsi="仿宋" w:eastAsia="仿宋" w:cs="仿宋"/>
          <w:color w:val="auto"/>
          <w:kern w:val="2"/>
          <w:sz w:val="28"/>
          <w:szCs w:val="28"/>
        </w:rPr>
        <w:t xml:space="preserve"> 号）文件要求，坚持“以赛促教、以赛促研，以赛促建、以赛促改”的总体思路，引导教师以立德树人为根本任务，构建“三全育人”体系，深化“课程思政”建设;引导各教学单位切实推进国家教学标准落地，积极探索“岗课赛证”融合育人模式，创新发展线上线下混合式教学模式;引导各教学单位持续深化教师、教材、教法“三教改革”，持续提升学校在确保质量型扩招等新形势下常态化改进教育教学管理的能力;引导各教学单位推进高水平、结构化教师教学团队建设，提高教师的师德践行能力、专业教学能力、综合育人能力和自主发展能力，推动示范性教学，促进“能说会做”的“双师型”教师成长。</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一</w:t>
      </w:r>
      <w:r>
        <w:rPr>
          <w:rFonts w:ascii="黑体" w:hAnsi="黑体" w:eastAsia="黑体" w:cs="Times New Roman"/>
          <w:color w:val="000000"/>
          <w:sz w:val="30"/>
          <w:szCs w:val="30"/>
        </w:rPr>
        <w:t>、参赛教师要求</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1.师德高尚，爱岗敬业，为人师表。</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2.参赛以小组形式（2～4人），成员需由教龄2年及以上且实际承担参赛课程或相关课程教学（含实习指导)）任务的教师组成，每位只能参加一个小组的比赛。</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3.鼓励学校正式聘用的行业企业兼职教师参与教学竞赛活动，可以作为兼职教师与学校教师开展校企“双元”教学，探索“双元结构教师小组”模式，教师分工协作教学，促进校企“双元”育人。每个教学团队限1名兼职教师。</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4.鼓励省市级职业教育教学名师、骨干教师、教学成果奖主持人以及具有高级专业技术职务的优秀教师报名参赛。</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二、竞赛内容要求</w:t>
      </w:r>
    </w:p>
    <w:p>
      <w:pPr>
        <w:keepNext w:val="0"/>
        <w:keepLines w:val="0"/>
        <w:pageBreakBefore w:val="0"/>
        <w:widowControl w:val="0"/>
        <w:kinsoku/>
        <w:wordWrap/>
        <w:topLinePunct w:val="0"/>
        <w:bidi w:val="0"/>
        <w:spacing w:line="440" w:lineRule="exact"/>
        <w:ind w:firstLine="602" w:firstLineChars="200"/>
        <w:textAlignment w:val="auto"/>
        <w:outlineLvl w:val="1"/>
        <w:rPr>
          <w:rFonts w:ascii="仿宋" w:hAnsi="仿宋" w:eastAsia="仿宋" w:cs="仿宋"/>
          <w:b/>
          <w:bCs/>
          <w:sz w:val="30"/>
          <w:szCs w:val="30"/>
        </w:rPr>
      </w:pPr>
      <w:r>
        <w:rPr>
          <w:rFonts w:hint="eastAsia" w:ascii="仿宋" w:hAnsi="仿宋" w:eastAsia="仿宋" w:cs="仿宋"/>
          <w:b/>
          <w:bCs/>
          <w:sz w:val="30"/>
          <w:szCs w:val="30"/>
        </w:rPr>
        <w:t>（一）竞赛内容</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重点考察教学团队针对某门课程中部分教学内容完成教学设计、实施课堂教学、评价目标达成、进行反思改进的能力。</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教学内容。根据职业教育国家教学标准要求，对接职业标准（规范)、职业技能等级标准等，优化课程体系和教学目标，拓展教学内容深度和广度，体现产业发展新趋势、新业态、新模式，体现专业升级和数字化改造。结合专业特点，做好课程思政的系统设计，有机融入劳动精神、工匠精神、劳模精神等育人新要求，实现润物无声的育人效果。优化实践教学体系，实训教学内容应体现真实工作任务、项目及工作流程、过程等。</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bookmarkStart w:id="0" w:name="_Hlk40650790"/>
      <w:r>
        <w:rPr>
          <w:rFonts w:hint="eastAsia" w:ascii="仿宋" w:hAnsi="仿宋" w:eastAsia="仿宋" w:cs="仿宋"/>
          <w:color w:val="auto"/>
          <w:kern w:val="2"/>
          <w:sz w:val="28"/>
          <w:szCs w:val="28"/>
        </w:rPr>
        <w:t>2.教学设计。依据学校实际使用的专业人才培养方案和课程标准，针对参赛教学内容，进行学情分析，确定教学目标，优化教学过程。针对不同生源分类施教、因材施教。合理运用平台、技术、方法和资源等组织教育教学，进行考核与评价，持续开展教学诊断与改进。专业（技能）课程鼓励按照生产实际和岗位需求设计模块化课程，强化工学结合、理实一体，实施项目教学、案例教学、情景教学等行动导向教学。</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3.教学实施。教学实施应注重实效性，突出教学重点难点的解决方法和策略，关注师生、生生的深度有效互动，收集教师教、学生学的行为信息，并根据反映出的问题及时调整教学策略。合理选用国家规划教材和优质精品教材，专业（技能）课程应积极引入典型生产案例，使用新型活页式、工作手册式教材及配套的信息化学习资源;实训教学应运用虚拟仿真、虚拟现实、增强现实和混合现实等信息技术手段，通过教师规范操作、有效示教，提高学生基于任务（项目）分析问题、解决问题的能力。</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4.教学评价。深入贯彻落实《深化新时代教育评价改革总体方案》，改进结果评价，强化过程评价，探索增值评价，健全综合评价;鼓励依托线上平台和软件工具，运用大数据、人工智能等现代信息技术，开展教与学行为分析。</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5.教学反思。教学实施后应充分反思在教学理念、教学设计、教学实施、教学评价过程中形成的经验与存在的不足，总结在课程思政、素养教育、重点突出、难点突破等方面的改革与创新，做到设计理念、教学实施与育人成效的有机统一。</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6.参赛作品应为原创，不得违反国家相关法律法规，不得侵犯他人知识产权，如引起知识产权异议或其他法律纠纷，责任自负。涉及软件使用的，应保证为正版软件，鼓励使用国产软件(自主可控)。除教学团队事前特别声明外，学校拥有对参赛作品进行公益性共享的权利。</w:t>
      </w:r>
    </w:p>
    <w:bookmarkEnd w:id="0"/>
    <w:p>
      <w:pPr>
        <w:keepNext w:val="0"/>
        <w:keepLines w:val="0"/>
        <w:pageBreakBefore w:val="0"/>
        <w:widowControl w:val="0"/>
        <w:kinsoku/>
        <w:wordWrap/>
        <w:topLinePunct w:val="0"/>
        <w:bidi w:val="0"/>
        <w:spacing w:line="440" w:lineRule="exact"/>
        <w:ind w:firstLine="602" w:firstLineChars="200"/>
        <w:textAlignment w:val="auto"/>
        <w:outlineLvl w:val="1"/>
        <w:rPr>
          <w:rFonts w:ascii="仿宋" w:hAnsi="仿宋" w:eastAsia="仿宋" w:cs="仿宋"/>
          <w:b/>
          <w:bCs/>
          <w:sz w:val="30"/>
          <w:szCs w:val="30"/>
        </w:rPr>
      </w:pPr>
      <w:r>
        <w:rPr>
          <w:rFonts w:hint="eastAsia" w:ascii="仿宋" w:hAnsi="仿宋" w:eastAsia="仿宋" w:cs="仿宋"/>
          <w:b/>
          <w:bCs/>
          <w:sz w:val="30"/>
          <w:szCs w:val="30"/>
        </w:rPr>
        <w:t>（二）参赛作品及材料</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教学团队选取某门课程在一个学期中符合要求的教学任务作为参赛作品，完成教学设计，实施课堂教学。教学内容要符合教育部印发的职业教育国家教学标准中的有关要求，公共基础课程教学内容应突出思想性、注重基础性、体现职业性、反映时代性;专业（技能）课程教学内容应对接新技术、新工艺、新设备、新规范。教材的选用和使用必须遵照教育部《职业院校教材管理办法》（教材〔2019〕3号）、《郑州电力职业技术学院教材建设管理办法》（〔2019〕69号）等文件规定和要求。鼓励推荐落实公共基础课程标准、推进1+X证书制度试点，针对高职扩招生源特点创新教学模式、实施线上线下混合式教学且效果好的作品参赛。</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参赛作品材料包括实际使用的教案、3～4段课堂实录视频、教学实施报告，另附参赛作品所依据的实际使用的专业人才培养方案和课程标准（有关要求详见附件2）。</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三、竞赛分组及参赛限额</w:t>
      </w:r>
    </w:p>
    <w:p>
      <w:pPr>
        <w:keepNext w:val="0"/>
        <w:keepLines w:val="0"/>
        <w:pageBreakBefore w:val="0"/>
        <w:widowControl w:val="0"/>
        <w:kinsoku/>
        <w:wordWrap/>
        <w:topLinePunct w:val="0"/>
        <w:bidi w:val="0"/>
        <w:spacing w:line="440" w:lineRule="exact"/>
        <w:ind w:firstLine="602" w:firstLineChars="200"/>
        <w:textAlignment w:val="auto"/>
        <w:outlineLvl w:val="1"/>
        <w:rPr>
          <w:rFonts w:ascii="仿宋" w:hAnsi="仿宋" w:eastAsia="仿宋" w:cs="仿宋"/>
          <w:b/>
          <w:bCs/>
          <w:sz w:val="30"/>
          <w:szCs w:val="30"/>
        </w:rPr>
      </w:pPr>
      <w:r>
        <w:rPr>
          <w:rFonts w:hint="eastAsia" w:ascii="仿宋" w:hAnsi="仿宋" w:eastAsia="仿宋" w:cs="仿宋"/>
          <w:b/>
          <w:bCs/>
          <w:sz w:val="30"/>
          <w:szCs w:val="30"/>
        </w:rPr>
        <w:t>（一）竞赛分组</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分设3个组别。</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1.公共基础课程组：参赛作品应为公共基础课程中不少于12学时连续、完整的教学内容。</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2.专业课程一组：参赛作品应为专业基础课程或专业核心课程或专业拓展课程中不少于16学时连续、完整的教学内容。</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3.专业课程二组：参赛作品应为专业核心课程或专业拓展课程中不少于16学时连续、完整的教学内容，其中必须包含不少于6学时的实训教学内容。职业院校专业（类）顶岗实习标准中的实习项目工作任务也可参赛。</w:t>
      </w:r>
    </w:p>
    <w:p>
      <w:pPr>
        <w:keepNext w:val="0"/>
        <w:keepLines w:val="0"/>
        <w:pageBreakBefore w:val="0"/>
        <w:widowControl w:val="0"/>
        <w:kinsoku/>
        <w:wordWrap/>
        <w:topLinePunct w:val="0"/>
        <w:bidi w:val="0"/>
        <w:spacing w:line="440" w:lineRule="exact"/>
        <w:ind w:firstLine="602" w:firstLineChars="200"/>
        <w:textAlignment w:val="auto"/>
        <w:outlineLvl w:val="1"/>
        <w:rPr>
          <w:rFonts w:ascii="仿宋" w:hAnsi="仿宋" w:eastAsia="仿宋" w:cs="仿宋"/>
          <w:b/>
          <w:bCs/>
          <w:sz w:val="30"/>
          <w:szCs w:val="30"/>
        </w:rPr>
      </w:pPr>
      <w:r>
        <w:rPr>
          <w:rFonts w:hint="eastAsia" w:ascii="仿宋" w:hAnsi="仿宋" w:eastAsia="仿宋" w:cs="仿宋"/>
          <w:b/>
          <w:bCs/>
          <w:sz w:val="30"/>
          <w:szCs w:val="30"/>
        </w:rPr>
        <w:t>（二）参赛名额及组别</w:t>
      </w:r>
    </w:p>
    <w:p>
      <w:pPr>
        <w:pStyle w:val="2"/>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原则上参赛课程不能重复，名额分配如下。</w:t>
      </w:r>
    </w:p>
    <w:p>
      <w:pPr>
        <w:keepNext w:val="0"/>
        <w:keepLines w:val="0"/>
        <w:pageBreakBefore w:val="0"/>
        <w:widowControl w:val="0"/>
        <w:kinsoku/>
        <w:wordWrap/>
        <w:topLinePunct w:val="0"/>
        <w:bidi w:val="0"/>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名额分配表</w:t>
      </w:r>
    </w:p>
    <w:tbl>
      <w:tblPr>
        <w:tblStyle w:val="6"/>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119"/>
        <w:gridCol w:w="827"/>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序号</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教学单位</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总数</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参赛组别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1</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电力工程学院</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2</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机电工程学院</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3</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信息工程学院</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4</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经济管理学院</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5</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车辆工程学院</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专业一组、专业二组各</w:t>
            </w:r>
            <w:r>
              <w:rPr>
                <w:rFonts w:hint="eastAsia" w:ascii="楷体" w:hAnsi="楷体" w:eastAsia="楷体" w:cs="楷体"/>
                <w:sz w:val="24"/>
                <w:szCs w:val="24"/>
                <w:lang w:eastAsia="zh-CN"/>
              </w:rPr>
              <w:t>一</w:t>
            </w:r>
            <w:r>
              <w:rPr>
                <w:rFonts w:hint="eastAsia" w:ascii="楷体" w:hAnsi="楷体" w:eastAsia="楷体" w:cs="楷体"/>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6</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艺术传媒学院</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涵盖专业一组、专业二组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7</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公共教学部</w:t>
            </w:r>
            <w:r>
              <w:rPr>
                <w:rFonts w:hint="eastAsia" w:ascii="楷体" w:hAnsi="楷体" w:eastAsia="楷体" w:cs="楷体"/>
                <w:sz w:val="24"/>
                <w:szCs w:val="24"/>
                <w:lang w:eastAsia="zh-CN"/>
              </w:rPr>
              <w:t>、马克思主义学院及除公共教学部、马克思主义学院负责的公共选修课、公共必修课</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公共基础课程组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8</w:t>
            </w:r>
          </w:p>
        </w:tc>
        <w:tc>
          <w:tcPr>
            <w:tcW w:w="411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实验中心</w:t>
            </w:r>
          </w:p>
        </w:tc>
        <w:tc>
          <w:tcPr>
            <w:tcW w:w="827"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1</w:t>
            </w:r>
          </w:p>
        </w:tc>
        <w:tc>
          <w:tcPr>
            <w:tcW w:w="3169"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专业二组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923" w:type="dxa"/>
            <w:gridSpan w:val="2"/>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szCs w:val="24"/>
              </w:rPr>
            </w:pPr>
            <w:r>
              <w:rPr>
                <w:rFonts w:hint="eastAsia" w:ascii="楷体" w:hAnsi="楷体" w:eastAsia="楷体" w:cs="楷体"/>
                <w:sz w:val="24"/>
                <w:szCs w:val="24"/>
              </w:rPr>
              <w:t>总计</w:t>
            </w:r>
          </w:p>
        </w:tc>
        <w:tc>
          <w:tcPr>
            <w:tcW w:w="3996" w:type="dxa"/>
            <w:gridSpan w:val="2"/>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color w:val="FF0000"/>
                <w:sz w:val="24"/>
                <w:szCs w:val="24"/>
              </w:rPr>
            </w:pPr>
            <w:r>
              <w:rPr>
                <w:rFonts w:hint="eastAsia" w:ascii="楷体" w:hAnsi="楷体" w:eastAsia="楷体" w:cs="楷体"/>
                <w:sz w:val="24"/>
                <w:szCs w:val="24"/>
                <w:lang w:val="en-US" w:eastAsia="zh-CN"/>
              </w:rPr>
              <w:t>22</w:t>
            </w:r>
            <w:r>
              <w:rPr>
                <w:rFonts w:hint="eastAsia" w:ascii="楷体" w:hAnsi="楷体" w:eastAsia="楷体" w:cs="楷体"/>
                <w:sz w:val="24"/>
                <w:szCs w:val="24"/>
              </w:rPr>
              <w:t>组</w:t>
            </w:r>
          </w:p>
        </w:tc>
      </w:tr>
    </w:tbl>
    <w:p>
      <w:pPr>
        <w:keepNext w:val="0"/>
        <w:keepLines w:val="0"/>
        <w:pageBreakBefore w:val="0"/>
        <w:widowControl w:val="0"/>
        <w:kinsoku/>
        <w:wordWrap/>
        <w:topLinePunct w:val="0"/>
        <w:bidi w:val="0"/>
        <w:spacing w:line="440" w:lineRule="exact"/>
        <w:ind w:firstLine="560" w:firstLineChars="200"/>
        <w:textAlignment w:val="auto"/>
      </w:pPr>
      <w:r>
        <w:rPr>
          <w:rFonts w:hint="eastAsia" w:ascii="仿宋" w:hAnsi="仿宋" w:eastAsia="仿宋" w:cs="仿宋"/>
          <w:color w:val="auto"/>
          <w:kern w:val="2"/>
          <w:sz w:val="28"/>
          <w:szCs w:val="28"/>
          <w:lang w:val="en-US" w:eastAsia="zh-CN" w:bidi="ar-SA"/>
        </w:rPr>
        <w:t>由教学单位按名额分配报送参赛作品，学校进行专家网上评选或集中评审，初赛结果按照 40%的比例进入现场竞赛。</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bookmarkStart w:id="1" w:name="_Hlk40651138"/>
      <w:r>
        <w:rPr>
          <w:rFonts w:hint="eastAsia" w:ascii="黑体" w:hAnsi="黑体" w:eastAsia="黑体" w:cs="Times New Roman"/>
          <w:color w:val="000000"/>
          <w:sz w:val="30"/>
          <w:szCs w:val="30"/>
        </w:rPr>
        <w:t>四、比赛程序</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采取先教学单位初赛后组织校级决赛的方式进行。2023年5月4日前完成作品教学单位初评，2023年5月6日前完成校级决赛。</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1.教学单位初赛。各教学部门成立评审专家组，首先对参赛作品材料进行资格审查、初赛，初赛人数必须大于推荐人数。</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校级决赛。教学团队中1人介绍教学实施报告、其余参赛人员针对抽选教案中的自选内容进行无学生教学展示、回答评委提问（有关要求详见附件2）。评审参赛作品材料和教学团队现场表现，确定竞赛成绩。如因疫情影响，决赛有关安排另行通知。</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五、参赛组织及要求</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各学院（部）要高度重视，精心组织，做好2023年校级教学能力大赛初赛选拔推荐相关工作，把本次教师教学能力比赛作为提高教师专业发展和教学能力的重要抓手，广泛发动教师积极参与，积极为教师参赛创造条件，真正推选出优秀作品参加校级决赛。           </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参赛教师可自行组建团队并由主持人向所属教学部门进行参赛报名，按时完成参赛作品并提交至所属教学部门。各教学部门应做好初赛组织工作，注意结合本部门实际情况组织协调各组别参赛比例，保证参赛组别数量均衡。</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各教学部门应于5月4日前指定专人将遴选后的参赛作品材料（见附件2）连同报名表（见附件3）、报名汇总表（见附件4）、参赛单位竞赛实施方案和竞赛情况报告等提交教务科研处，同时将电子版材料发送教务科研处，不接受教学团队单独报名和材料发送。</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联系人：杨春暖  电话：62111329</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"mailto:253060604@qq.com。"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1638639850@qq.com。</w:t>
      </w:r>
      <w:r>
        <w:rPr>
          <w:rFonts w:hint="eastAsia" w:ascii="仿宋" w:hAnsi="仿宋" w:eastAsia="仿宋" w:cs="仿宋"/>
          <w:color w:val="auto"/>
          <w:kern w:val="2"/>
          <w:sz w:val="28"/>
          <w:szCs w:val="28"/>
          <w:lang w:val="en-US" w:eastAsia="zh-CN" w:bidi="ar-SA"/>
        </w:rPr>
        <w:fldChar w:fldCharType="end"/>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4.各教学部门要严格按照疫情防控常态化要求，统筹做好2023年教学能力竞赛各项准备工作。</w:t>
      </w:r>
    </w:p>
    <w:p>
      <w:pPr>
        <w:keepNext w:val="0"/>
        <w:keepLines w:val="0"/>
        <w:pageBreakBefore w:val="0"/>
        <w:widowControl w:val="0"/>
        <w:kinsoku/>
        <w:wordWrap/>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附件：</w:t>
      </w:r>
    </w:p>
    <w:p>
      <w:pPr>
        <w:keepNext w:val="0"/>
        <w:keepLines w:val="0"/>
        <w:pageBreakBefore w:val="0"/>
        <w:widowControl w:val="0"/>
        <w:kinsoku/>
        <w:wordWrap/>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w:t>
      </w:r>
      <w:r>
        <w:rPr>
          <w:rFonts w:hint="eastAsia" w:ascii="仿宋" w:hAnsi="仿宋" w:eastAsia="仿宋" w:cs="仿宋"/>
          <w:sz w:val="28"/>
          <w:szCs w:val="28"/>
        </w:rPr>
        <w:t>郑州电力职业技术学院202</w:t>
      </w:r>
      <w:r>
        <w:rPr>
          <w:rFonts w:hint="eastAsia" w:ascii="仿宋" w:hAnsi="仿宋" w:eastAsia="仿宋" w:cs="仿宋"/>
          <w:sz w:val="28"/>
          <w:szCs w:val="28"/>
          <w:lang w:val="en-US" w:eastAsia="zh-CN"/>
        </w:rPr>
        <w:t>3</w:t>
      </w:r>
      <w:r>
        <w:rPr>
          <w:rFonts w:hint="eastAsia" w:ascii="仿宋" w:hAnsi="仿宋" w:eastAsia="仿宋" w:cs="仿宋"/>
          <w:sz w:val="28"/>
          <w:szCs w:val="28"/>
        </w:rPr>
        <w:t>年校级教学能力大赛参赛作品材料有关要求</w:t>
      </w:r>
      <w:r>
        <w:rPr>
          <w:rFonts w:hint="eastAsia" w:ascii="仿宋" w:hAnsi="仿宋" w:eastAsia="仿宋" w:cs="仿宋"/>
          <w:sz w:val="28"/>
          <w:szCs w:val="28"/>
          <w:lang w:eastAsia="zh-CN"/>
        </w:rPr>
        <w:t>》</w:t>
      </w:r>
    </w:p>
    <w:p>
      <w:pPr>
        <w:keepNext w:val="0"/>
        <w:keepLines w:val="0"/>
        <w:pageBreakBefore w:val="0"/>
        <w:widowControl w:val="0"/>
        <w:kinsoku/>
        <w:wordWrap/>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eastAsia="zh-CN"/>
        </w:rPr>
        <w:t>《</w:t>
      </w:r>
      <w:r>
        <w:rPr>
          <w:rFonts w:hint="eastAsia" w:ascii="仿宋" w:hAnsi="仿宋" w:eastAsia="仿宋" w:cs="仿宋"/>
          <w:sz w:val="28"/>
          <w:szCs w:val="28"/>
        </w:rPr>
        <w:t>郑州电力职业技术学院202</w:t>
      </w:r>
      <w:r>
        <w:rPr>
          <w:rFonts w:hint="eastAsia" w:ascii="仿宋" w:hAnsi="仿宋" w:eastAsia="仿宋" w:cs="仿宋"/>
          <w:sz w:val="28"/>
          <w:szCs w:val="28"/>
          <w:lang w:val="en-US" w:eastAsia="zh-CN"/>
        </w:rPr>
        <w:t>3</w:t>
      </w:r>
      <w:r>
        <w:rPr>
          <w:rFonts w:hint="eastAsia" w:ascii="仿宋" w:hAnsi="仿宋" w:eastAsia="仿宋" w:cs="仿宋"/>
          <w:sz w:val="28"/>
          <w:szCs w:val="28"/>
        </w:rPr>
        <w:t>年校级教学能力大赛参赛报名表</w:t>
      </w:r>
      <w:r>
        <w:rPr>
          <w:rFonts w:hint="eastAsia" w:ascii="仿宋" w:hAnsi="仿宋" w:eastAsia="仿宋" w:cs="仿宋"/>
          <w:sz w:val="28"/>
          <w:szCs w:val="28"/>
          <w:lang w:eastAsia="zh-CN"/>
        </w:rPr>
        <w:t>》</w:t>
      </w:r>
    </w:p>
    <w:p>
      <w:pPr>
        <w:keepNext w:val="0"/>
        <w:keepLines w:val="0"/>
        <w:pageBreakBefore w:val="0"/>
        <w:widowControl w:val="0"/>
        <w:kinsoku/>
        <w:wordWrap/>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eastAsia="zh-CN"/>
        </w:rPr>
        <w:t>《</w:t>
      </w:r>
      <w:r>
        <w:rPr>
          <w:rFonts w:hint="eastAsia" w:ascii="仿宋" w:hAnsi="仿宋" w:eastAsia="仿宋" w:cs="仿宋"/>
          <w:sz w:val="28"/>
          <w:szCs w:val="28"/>
        </w:rPr>
        <w:t>郑州电力职业技术学院202</w:t>
      </w:r>
      <w:r>
        <w:rPr>
          <w:rFonts w:hint="eastAsia" w:ascii="仿宋" w:hAnsi="仿宋" w:eastAsia="仿宋" w:cs="仿宋"/>
          <w:sz w:val="28"/>
          <w:szCs w:val="28"/>
          <w:lang w:val="en-US" w:eastAsia="zh-CN"/>
        </w:rPr>
        <w:t>3</w:t>
      </w:r>
      <w:r>
        <w:rPr>
          <w:rFonts w:hint="eastAsia" w:ascii="仿宋" w:hAnsi="仿宋" w:eastAsia="仿宋" w:cs="仿宋"/>
          <w:sz w:val="28"/>
          <w:szCs w:val="28"/>
        </w:rPr>
        <w:t>年校级教学能力大赛参赛报名汇总表</w:t>
      </w:r>
      <w:r>
        <w:rPr>
          <w:rFonts w:hint="eastAsia" w:ascii="仿宋" w:hAnsi="仿宋" w:eastAsia="仿宋" w:cs="仿宋"/>
          <w:sz w:val="28"/>
          <w:szCs w:val="28"/>
          <w:lang w:eastAsia="zh-CN"/>
        </w:rPr>
        <w:t>》</w:t>
      </w:r>
    </w:p>
    <w:p>
      <w:pPr>
        <w:keepNext w:val="0"/>
        <w:keepLines w:val="0"/>
        <w:pageBreakBefore w:val="0"/>
        <w:widowControl w:val="0"/>
        <w:kinsoku/>
        <w:wordWrap/>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lang w:eastAsia="zh-CN"/>
        </w:rPr>
        <w:t>《</w:t>
      </w:r>
      <w:r>
        <w:rPr>
          <w:rFonts w:hint="eastAsia" w:ascii="仿宋" w:hAnsi="仿宋" w:eastAsia="仿宋" w:cs="仿宋"/>
          <w:sz w:val="28"/>
          <w:szCs w:val="28"/>
        </w:rPr>
        <w:t>郑州电力职业技术学院202</w:t>
      </w:r>
      <w:r>
        <w:rPr>
          <w:rFonts w:hint="eastAsia" w:ascii="仿宋" w:hAnsi="仿宋" w:eastAsia="仿宋" w:cs="仿宋"/>
          <w:sz w:val="28"/>
          <w:szCs w:val="28"/>
          <w:lang w:val="en-US" w:eastAsia="zh-CN"/>
        </w:rPr>
        <w:t>3</w:t>
      </w:r>
      <w:r>
        <w:rPr>
          <w:rFonts w:hint="eastAsia" w:ascii="仿宋" w:hAnsi="仿宋" w:eastAsia="仿宋" w:cs="仿宋"/>
          <w:sz w:val="28"/>
          <w:szCs w:val="28"/>
        </w:rPr>
        <w:t>年校级教学能力大赛评分指标</w:t>
      </w:r>
      <w:r>
        <w:rPr>
          <w:rFonts w:hint="eastAsia" w:ascii="仿宋" w:hAnsi="仿宋" w:eastAsia="仿宋" w:cs="仿宋"/>
          <w:sz w:val="28"/>
          <w:szCs w:val="28"/>
          <w:lang w:eastAsia="zh-CN"/>
        </w:rPr>
        <w:t>》</w:t>
      </w:r>
    </w:p>
    <w:p>
      <w:pPr>
        <w:keepNext w:val="0"/>
        <w:keepLines w:val="0"/>
        <w:pageBreakBefore w:val="0"/>
        <w:widowControl w:val="0"/>
        <w:kinsoku/>
        <w:wordWrap/>
        <w:overflowPunct w:val="0"/>
        <w:topLinePunct w:val="0"/>
        <w:bidi w:val="0"/>
        <w:snapToGrid w:val="0"/>
        <w:spacing w:line="440" w:lineRule="exact"/>
        <w:jc w:val="left"/>
        <w:textAlignment w:val="auto"/>
        <w:rPr>
          <w:rFonts w:ascii="黑体" w:hAnsi="黑体" w:eastAsia="黑体" w:cs="仿宋"/>
          <w:sz w:val="28"/>
          <w:szCs w:val="28"/>
        </w:rPr>
      </w:pPr>
    </w:p>
    <w:p>
      <w:pPr>
        <w:pStyle w:val="2"/>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郑州电力职业技术学院</w:t>
      </w:r>
    </w:p>
    <w:p>
      <w:pPr>
        <w:pStyle w:val="2"/>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rPr>
        <w:t>日</w:t>
      </w:r>
    </w:p>
    <w:p>
      <w:pPr>
        <w:pStyle w:val="2"/>
        <w:keepNext w:val="0"/>
        <w:keepLines w:val="0"/>
        <w:pageBreakBefore w:val="0"/>
        <w:widowControl w:val="0"/>
        <w:kinsoku/>
        <w:wordWrap/>
        <w:topLinePunct w:val="0"/>
        <w:bidi w:val="0"/>
        <w:spacing w:line="440" w:lineRule="exact"/>
        <w:textAlignment w:val="auto"/>
        <w:rPr>
          <w:color w:val="auto"/>
        </w:rPr>
      </w:pPr>
    </w:p>
    <w:p>
      <w:pPr>
        <w:pStyle w:val="2"/>
        <w:keepNext w:val="0"/>
        <w:keepLines w:val="0"/>
        <w:pageBreakBefore w:val="0"/>
        <w:widowControl w:val="0"/>
        <w:kinsoku/>
        <w:wordWrap/>
        <w:topLinePunct w:val="0"/>
        <w:bidi w:val="0"/>
        <w:spacing w:line="440" w:lineRule="exact"/>
        <w:textAlignment w:val="auto"/>
        <w:rPr>
          <w:color w:val="auto"/>
        </w:rPr>
      </w:pPr>
    </w:p>
    <w:bookmarkEnd w:id="1"/>
    <w:p>
      <w:pPr>
        <w:keepNext w:val="0"/>
        <w:keepLines w:val="0"/>
        <w:pageBreakBefore w:val="0"/>
        <w:widowControl w:val="0"/>
        <w:kinsoku/>
        <w:wordWrap/>
        <w:overflowPunct w:val="0"/>
        <w:topLinePunct w:val="0"/>
        <w:bidi w:val="0"/>
        <w:spacing w:line="440" w:lineRule="exact"/>
        <w:textAlignment w:val="auto"/>
        <w:rPr>
          <w:rFonts w:ascii="黑体" w:hAnsi="黑体" w:eastAsia="黑体"/>
          <w:sz w:val="44"/>
          <w:szCs w:val="44"/>
        </w:rPr>
      </w:pPr>
      <w:r>
        <w:rPr>
          <w:rFonts w:hint="eastAsia" w:ascii="Times New Roman" w:hAnsi="Times New Roman" w:eastAsia="仿宋_GB2312" w:cs="Times New Roman"/>
          <w:sz w:val="32"/>
          <w:szCs w:val="32"/>
        </w:rPr>
        <w:br w:type="page"/>
      </w:r>
      <w:r>
        <w:rPr>
          <w:rFonts w:hint="eastAsia" w:ascii="黑体" w:hAnsi="黑体" w:eastAsia="黑体" w:cs="仿宋"/>
          <w:sz w:val="32"/>
          <w:szCs w:val="32"/>
        </w:rPr>
        <w:t>附件1-1</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宋体" w:eastAsia="方正小标宋简体" w:cs="黑体"/>
          <w:sz w:val="40"/>
          <w:szCs w:val="24"/>
        </w:rPr>
      </w:pPr>
      <w:r>
        <w:rPr>
          <w:rFonts w:hint="eastAsia" w:ascii="方正小标宋简体" w:hAnsi="宋体" w:eastAsia="方正小标宋简体" w:cs="黑体"/>
          <w:sz w:val="40"/>
          <w:szCs w:val="24"/>
        </w:rPr>
        <w:t>郑州电力职业技术学院</w:t>
      </w:r>
    </w:p>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sz w:val="32"/>
          <w:szCs w:val="32"/>
        </w:rPr>
      </w:pPr>
      <w:r>
        <w:rPr>
          <w:rFonts w:hint="eastAsia" w:ascii="方正小标宋简体" w:hAnsi="宋体" w:eastAsia="方正小标宋简体" w:cs="黑体"/>
          <w:sz w:val="40"/>
          <w:szCs w:val="24"/>
        </w:rPr>
        <w:t>202</w:t>
      </w:r>
      <w:r>
        <w:rPr>
          <w:rFonts w:hint="eastAsia" w:ascii="方正小标宋简体" w:hAnsi="宋体" w:eastAsia="方正小标宋简体" w:cs="黑体"/>
          <w:sz w:val="40"/>
          <w:szCs w:val="24"/>
          <w:lang w:val="en-US" w:eastAsia="zh-CN"/>
        </w:rPr>
        <w:t>3</w:t>
      </w:r>
      <w:r>
        <w:rPr>
          <w:rFonts w:hint="eastAsia" w:ascii="方正小标宋简体" w:hAnsi="宋体" w:eastAsia="方正小标宋简体" w:cs="黑体"/>
          <w:sz w:val="40"/>
          <w:szCs w:val="24"/>
        </w:rPr>
        <w:t>年校级教学能力大赛</w:t>
      </w:r>
      <w:r>
        <w:rPr>
          <w:rFonts w:ascii="方正小标宋简体" w:hAnsi="宋体" w:eastAsia="方正小标宋简体" w:cs="黑体"/>
          <w:sz w:val="40"/>
          <w:szCs w:val="24"/>
        </w:rPr>
        <w:t>参赛作品材料要求</w:t>
      </w:r>
    </w:p>
    <w:p>
      <w:pPr>
        <w:keepNext w:val="0"/>
        <w:keepLines w:val="0"/>
        <w:pageBreakBefore w:val="0"/>
        <w:widowControl w:val="0"/>
        <w:kinsoku/>
        <w:wordWrap/>
        <w:overflowPunct w:val="0"/>
        <w:topLinePunct w:val="0"/>
        <w:bidi w:val="0"/>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一、参赛作品文档材料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所有文档材料均要求规范、简明、完整、朴实，正文使用小四号字、单倍行距，禁用以装饰为目的的图片或照片，以PDF格式提交，每个文件大小不超过10OM。每组作品以“单位+组别+姓名”命名。</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（一）参赛教案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团队根据提交的专业人才培养方案和课程标准，选取该课程在一个学期中符合规定的教学任务作为参赛作品（作品名称应为课程标准中具体、明确的模块、单元或任务)，撰写实际使用的教案。教案应包括授课信息、任务目标、学情分析、活动安排、课后反思等教学基本要素，要求设计合理、重点突出、前后衔接、规范完整、详略得当，体现具体的教学内容、活动及安排其内容占主要篇幅),能够有效指导教学活动的实施,课后对授课实效、存在不足、改进设想进行客观深入反思。原则上每份教案的教学内容不超过2学时，实践性教学环节的教学内容可以不超过4学时。每件参赛作品的全部教案（无需附加其他内容）按序逐一标明序号，合并为一个文件提交。</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（二）教学实施报告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团队在完成教学设计和实施之后，撰写1份教学实施报告。报告应梳理总结参赛作品的教学整体设计、教学实施过程、学生学习效果、反思改进措施等方面情况，突出重点和特色，体现创新举措和具体成效，可用图表加以佐证。中文字符在5000字以内（文末注明正文“中文字符统计数”)，插入的图表应有针对性、有效性，尺寸合适、清晰可见，一般不超过12张。</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（三）专业人才培养方案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团队提交学校实际使用的专业人才培养方案。专业人才培养方案应按照《教育部关于职业院校专业人才培养方案制订与实施工作的指导意见》(教职成〔2019)13号)、《关于组织做好职业院校专业人才培养方案制订与实施工作的通知》(教职成司函(2019)61号）和《教育部关于印发&lt;职业教育专业目录（2021年)&gt;的通知》（教职成〔2021)2号）有关要求修订完善。参赛内容为公共基础课程的和跨专业组建的教学团队，只需提交实际开设该课程的其中一个专业的人才培养方案。</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（四）课程标准</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团队提交参赛作品实际使用的课程标准。课程标准应依据职业教育国家教学标准体系，按照专业人才培养方案的相关标准要求科学规范制定，明确课程性质与任务、课程目标与要求、课程结构与内容、学生考核与评价、教学实施与保障、授课进程与安排等，并附某一班级授课计划表（注明授课日期、学时)。多个授课班级只需提交其中一份课程标准。</w:t>
      </w:r>
    </w:p>
    <w:p>
      <w:pPr>
        <w:keepNext w:val="0"/>
        <w:keepLines w:val="0"/>
        <w:pageBreakBefore w:val="0"/>
        <w:widowControl w:val="0"/>
        <w:kinsoku/>
        <w:wordWrap/>
        <w:overflowPunct w:val="0"/>
        <w:topLinePunct w:val="0"/>
        <w:bidi w:val="0"/>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二、参赛作品视频材料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学团队成员按照教学设计实施课堂教学（含实训、实习)，录制3—4段课堂实录视频，原则上每位团队成员不少于1段，应在实际教学（含顶岗实习)场所拍摄，参与教学的应是授课班级的全体学生（按照课程标准、教学实际等情况设计实施分班教学的需有专门说明)。课堂实录视频每段时长8—15分钟，总时长控制在35—40分钟;每段视频可自行选择教学场景，应分别完整、清晰地呈现参赛作品中内容相对独立完整、课程属性特质鲜明、反映团队成员教学风格的教学活动实况，杜绝过度包装。专业课程二组参赛作品的视频中须包含不少于2段反映团队成员关键技术技能教学操作与示范的教学实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课堂实录视频须采用单机方式全程连续录制，不得使用明显脱离课堂教学实际、片面追求拍摄效果、费用昂贵的技术与环境(比如虚拟演播系统、临时拼接大型LED显示屏等)，不允许另行剪辑及配音，不加片头片尾、字幕注解，不得泄露地区、学校名称。采用MP4格式封装，每个文件大小不超过20ON。每段视频文件以“教案序号+教学活动名称”分别命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视频录制软件不限，采用H 264/AVC(MPEG 4Par t 10）编码格式压缩;动态码流的码率不低于1024Kbps，不超过1280Kbps ;分辨率设定为720x576(标清4:3拍摄)或1280× 720(高清16:9拍摄);采用逐行扫描(帧率25帧/秒)。音频采用AAC( MPEGAPar t 3)格式压缩;采样率48K七;码流128Kbps（恒定)。</w:t>
      </w:r>
    </w:p>
    <w:p>
      <w:pPr>
        <w:keepNext w:val="0"/>
        <w:keepLines w:val="0"/>
        <w:pageBreakBefore w:val="0"/>
        <w:widowControl w:val="0"/>
        <w:kinsoku/>
        <w:wordWrap/>
        <w:overflowPunct w:val="0"/>
        <w:topLinePunct w:val="0"/>
        <w:bidi w:val="0"/>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三、决赛程序</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（一）赛前准备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1.入围决赛的教学团队决赛顺序由抽签决定。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2.决赛当天，教学团队按抽签顺序进入备赛室，在参赛作品范围内随机抽定两份不同教案，自选其中部分内容进行准备。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3.教学团队在备赛室可利用自带资源与网络资源进行准备（现场提供网络服务），限时30分钟。</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（二）内容介绍与教学展示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教学团队按时进入竞赛室，首先简要介绍教学实施报告的主要内容、创新特色；然后由两名参赛教师分别针对所抽定的两份不同教案中的自选内容进行无学生教学展示（如，新知讲解、示范操作、学习结果分析、课堂教学小结等），教学展示应符合无学生教学情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2.介绍教学实施报告时间不超过6分钟，两段无学生教学展示合计时间12—16分钟。期间另外安排换场准备，用时不超过5分钟。</w:t>
      </w:r>
    </w:p>
    <w:p>
      <w:pPr>
        <w:keepNext w:val="0"/>
        <w:keepLines w:val="0"/>
        <w:pageBreakBefore w:val="0"/>
        <w:widowControl w:val="0"/>
        <w:kinsoku/>
        <w:wordWrap/>
        <w:topLinePunct w:val="0"/>
        <w:bidi w:val="0"/>
        <w:spacing w:line="44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（三）答辩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1.评委针对参赛作品材料、教学实施报告介绍和无学生教学展示，集体讨论提出3个问题（包括参赛作品所涉及的理念、策略、模式、目标、成效、创新点，以及专业领域的素质、知识、技能等）。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教学团队针对评委提出的问题（评委可以指定答题者），逐一回答并阐述个人观点（可以展示佐证资料），时间不超过8分钟（含读题审题），在时间允许的情况下，评委可以追问。原则上未参与内容介绍及教学展示的团队成员，必须参与答题。</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如因疫情影响，决赛时间和组织形式另行通知。</w:t>
      </w:r>
    </w:p>
    <w:p>
      <w:pPr>
        <w:keepNext w:val="0"/>
        <w:keepLines w:val="0"/>
        <w:pageBreakBefore w:val="0"/>
        <w:widowControl w:val="0"/>
        <w:kinsoku/>
        <w:wordWrap/>
        <w:topLinePunct w:val="0"/>
        <w:bidi w:val="0"/>
        <w:spacing w:line="440" w:lineRule="exact"/>
        <w:textAlignment w:val="auto"/>
        <w:rPr>
          <w:rFonts w:ascii="仿宋" w:hAnsi="仿宋" w:eastAsia="仿宋" w:cs="仿宋"/>
          <w:sz w:val="30"/>
          <w:szCs w:val="30"/>
        </w:rPr>
      </w:pPr>
    </w:p>
    <w:p>
      <w:pPr>
        <w:keepNext w:val="0"/>
        <w:keepLines w:val="0"/>
        <w:pageBreakBefore w:val="0"/>
        <w:widowControl w:val="0"/>
        <w:kinsoku/>
        <w:wordWrap/>
        <w:topLinePunct w:val="0"/>
        <w:bidi w:val="0"/>
        <w:rPr>
          <w:rFonts w:hint="eastAsia" w:ascii="黑体" w:hAnsi="黑体" w:eastAsia="黑体" w:cs="仿宋"/>
          <w:sz w:val="32"/>
          <w:szCs w:val="32"/>
        </w:rPr>
      </w:pPr>
      <w:r>
        <w:rPr>
          <w:rFonts w:hint="eastAsia" w:ascii="黑体" w:hAnsi="黑体" w:eastAsia="黑体" w:cs="仿宋"/>
          <w:sz w:val="32"/>
          <w:szCs w:val="32"/>
        </w:rPr>
        <w:br w:type="page"/>
      </w:r>
    </w:p>
    <w:p>
      <w:pPr>
        <w:keepNext w:val="0"/>
        <w:keepLines w:val="0"/>
        <w:pageBreakBefore w:val="0"/>
        <w:widowControl w:val="0"/>
        <w:kinsoku/>
        <w:wordWrap/>
        <w:overflowPunct w:val="0"/>
        <w:topLinePunct w:val="0"/>
        <w:bidi w:val="0"/>
        <w:snapToGrid w:val="0"/>
        <w:spacing w:line="440" w:lineRule="exact"/>
        <w:jc w:val="left"/>
        <w:textAlignment w:val="auto"/>
        <w:rPr>
          <w:rFonts w:ascii="黑体" w:hAnsi="黑体" w:eastAsia="黑体"/>
          <w:color w:val="000000"/>
          <w:sz w:val="32"/>
          <w:szCs w:val="32"/>
        </w:rPr>
      </w:pPr>
      <w:r>
        <w:rPr>
          <w:rFonts w:hint="eastAsia" w:ascii="黑体" w:hAnsi="黑体" w:eastAsia="黑体" w:cs="仿宋"/>
          <w:sz w:val="32"/>
          <w:szCs w:val="32"/>
        </w:rPr>
        <w:t>附件1-2</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黑体" w:eastAsia="方正小标宋简体" w:cs="黑体"/>
          <w:color w:val="000000"/>
          <w:sz w:val="44"/>
          <w:szCs w:val="44"/>
        </w:rPr>
      </w:pPr>
      <w:r>
        <w:rPr>
          <w:rFonts w:hint="eastAsia" w:ascii="方正小标宋简体" w:hAnsi="宋体" w:eastAsia="方正小标宋简体" w:cs="黑体"/>
          <w:sz w:val="44"/>
          <w:szCs w:val="28"/>
        </w:rPr>
        <w:t>202</w:t>
      </w:r>
      <w:r>
        <w:rPr>
          <w:rFonts w:hint="eastAsia" w:ascii="方正小标宋简体" w:hAnsi="宋体" w:eastAsia="方正小标宋简体" w:cs="黑体"/>
          <w:sz w:val="44"/>
          <w:szCs w:val="28"/>
          <w:lang w:val="en-US" w:eastAsia="zh-CN"/>
        </w:rPr>
        <w:t>3</w:t>
      </w:r>
      <w:r>
        <w:rPr>
          <w:rFonts w:hint="eastAsia" w:ascii="方正小标宋简体" w:hAnsi="宋体" w:eastAsia="方正小标宋简体" w:cs="黑体"/>
          <w:sz w:val="44"/>
          <w:szCs w:val="28"/>
        </w:rPr>
        <w:t>年校级</w:t>
      </w:r>
      <w:r>
        <w:rPr>
          <w:rFonts w:hint="eastAsia" w:ascii="方正小标宋简体" w:hAnsi="黑体" w:eastAsia="方正小标宋简体" w:cs="黑体"/>
          <w:color w:val="000000"/>
          <w:sz w:val="44"/>
          <w:szCs w:val="44"/>
        </w:rPr>
        <w:t>教学能力大赛参赛报名表</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黑体" w:eastAsia="方正小标宋简体" w:cs="黑体"/>
          <w:color w:val="000000"/>
          <w:sz w:val="18"/>
          <w:szCs w:val="18"/>
        </w:rPr>
      </w:pPr>
    </w:p>
    <w:tbl>
      <w:tblPr>
        <w:tblStyle w:val="6"/>
        <w:tblW w:w="8860" w:type="dxa"/>
        <w:jc w:val="center"/>
        <w:tblLayout w:type="fixed"/>
        <w:tblCellMar>
          <w:top w:w="0" w:type="dxa"/>
          <w:left w:w="108" w:type="dxa"/>
          <w:bottom w:w="0" w:type="dxa"/>
          <w:right w:w="108" w:type="dxa"/>
        </w:tblCellMar>
      </w:tblPr>
      <w:tblGrid>
        <w:gridCol w:w="1791"/>
        <w:gridCol w:w="1273"/>
        <w:gridCol w:w="1356"/>
        <w:gridCol w:w="1442"/>
        <w:gridCol w:w="1864"/>
        <w:gridCol w:w="1134"/>
      </w:tblGrid>
      <w:tr>
        <w:tblPrEx>
          <w:tblCellMar>
            <w:top w:w="0" w:type="dxa"/>
            <w:left w:w="108" w:type="dxa"/>
            <w:bottom w:w="0" w:type="dxa"/>
            <w:right w:w="108" w:type="dxa"/>
          </w:tblCellMar>
        </w:tblPrEx>
        <w:trPr>
          <w:trHeight w:val="503" w:hRule="atLeast"/>
          <w:jc w:val="center"/>
        </w:trPr>
        <w:tc>
          <w:tcPr>
            <w:tcW w:w="8860" w:type="dxa"/>
            <w:gridSpan w:val="6"/>
            <w:tcBorders>
              <w:top w:val="nil"/>
              <w:left w:val="nil"/>
              <w:bottom w:val="single" w:color="auto" w:sz="4" w:space="0"/>
              <w:right w:val="nil"/>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pacing w:line="440" w:lineRule="exact"/>
              <w:jc w:val="center"/>
              <w:textAlignment w:val="auto"/>
              <w:rPr>
                <w:rFonts w:ascii="仿宋_GB2312" w:hAnsi="仿宋"/>
                <w:b/>
                <w:color w:val="000000"/>
                <w:sz w:val="24"/>
                <w:szCs w:val="24"/>
              </w:rPr>
            </w:pPr>
            <w:bookmarkStart w:id="2" w:name="_Hlk27433999"/>
            <w:r>
              <w:rPr>
                <w:rFonts w:hint="eastAsia" w:ascii="仿宋_GB2312" w:hAnsi="仿宋"/>
                <w:b/>
                <w:color w:val="000000"/>
                <w:sz w:val="24"/>
                <w:szCs w:val="24"/>
              </w:rPr>
              <w:t>参赛作品基本信息</w:t>
            </w:r>
            <w:bookmarkEnd w:id="2"/>
          </w:p>
        </w:tc>
      </w:tr>
      <w:tr>
        <w:tblPrEx>
          <w:tblCellMar>
            <w:top w:w="0" w:type="dxa"/>
            <w:left w:w="108" w:type="dxa"/>
            <w:bottom w:w="0" w:type="dxa"/>
            <w:right w:w="108" w:type="dxa"/>
          </w:tblCellMar>
        </w:tblPrEx>
        <w:trPr>
          <w:trHeight w:val="649" w:hRule="atLeast"/>
          <w:jc w:val="center"/>
        </w:trPr>
        <w:tc>
          <w:tcPr>
            <w:tcW w:w="306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□公共基础课程组</w:t>
            </w:r>
          </w:p>
        </w:tc>
        <w:tc>
          <w:tcPr>
            <w:tcW w:w="27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□专业（技能）课程一组</w:t>
            </w:r>
          </w:p>
        </w:tc>
        <w:tc>
          <w:tcPr>
            <w:tcW w:w="29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□专业（技能）课程二组</w:t>
            </w:r>
          </w:p>
        </w:tc>
      </w:tr>
      <w:tr>
        <w:tblPrEx>
          <w:tblCellMar>
            <w:top w:w="0" w:type="dxa"/>
            <w:left w:w="108" w:type="dxa"/>
            <w:bottom w:w="0" w:type="dxa"/>
            <w:right w:w="108" w:type="dxa"/>
          </w:tblCellMar>
        </w:tblPrEx>
        <w:trPr>
          <w:trHeight w:val="649" w:hRule="atLeast"/>
          <w:jc w:val="center"/>
        </w:trPr>
        <w:tc>
          <w:tcPr>
            <w:tcW w:w="3064" w:type="dxa"/>
            <w:gridSpan w:val="2"/>
            <w:vMerge w:val="restart"/>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所属专业</w:t>
            </w:r>
          </w:p>
        </w:tc>
        <w:tc>
          <w:tcPr>
            <w:tcW w:w="27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textAlignment w:val="auto"/>
              <w:rPr>
                <w:rFonts w:ascii="仿宋_GB2312" w:hAnsi="仿宋" w:cs="仿宋"/>
                <w:color w:val="000000"/>
                <w:sz w:val="24"/>
                <w:szCs w:val="24"/>
              </w:rPr>
            </w:pPr>
            <w:r>
              <w:rPr>
                <w:rFonts w:hint="eastAsia" w:ascii="仿宋_GB2312" w:hAnsi="仿宋" w:cs="仿宋"/>
                <w:color w:val="000000"/>
                <w:sz w:val="24"/>
                <w:szCs w:val="24"/>
              </w:rPr>
              <w:t>专业名称：</w:t>
            </w:r>
          </w:p>
        </w:tc>
        <w:tc>
          <w:tcPr>
            <w:tcW w:w="29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textAlignment w:val="auto"/>
              <w:rPr>
                <w:rFonts w:ascii="仿宋_GB2312" w:hAnsi="仿宋" w:cs="仿宋"/>
                <w:color w:val="000000"/>
                <w:sz w:val="24"/>
                <w:szCs w:val="24"/>
              </w:rPr>
            </w:pPr>
            <w:r>
              <w:rPr>
                <w:rFonts w:hint="eastAsia" w:ascii="仿宋_GB2312" w:hAnsi="仿宋" w:cs="仿宋"/>
                <w:color w:val="000000"/>
                <w:sz w:val="24"/>
                <w:szCs w:val="24"/>
              </w:rPr>
              <w:t>专业名称：</w:t>
            </w:r>
          </w:p>
        </w:tc>
      </w:tr>
      <w:tr>
        <w:tblPrEx>
          <w:tblCellMar>
            <w:top w:w="0" w:type="dxa"/>
            <w:left w:w="108" w:type="dxa"/>
            <w:bottom w:w="0" w:type="dxa"/>
            <w:right w:w="108" w:type="dxa"/>
          </w:tblCellMar>
        </w:tblPrEx>
        <w:trPr>
          <w:trHeight w:val="594" w:hRule="atLeast"/>
          <w:jc w:val="center"/>
        </w:trPr>
        <w:tc>
          <w:tcPr>
            <w:tcW w:w="3064"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bidi w:val="0"/>
              <w:spacing w:line="440" w:lineRule="exact"/>
              <w:jc w:val="left"/>
              <w:textAlignment w:val="auto"/>
              <w:rPr>
                <w:rFonts w:ascii="仿宋_GB2312" w:hAnsi="仿宋" w:cs="仿宋"/>
                <w:color w:val="000000"/>
                <w:sz w:val="24"/>
                <w:szCs w:val="24"/>
              </w:rPr>
            </w:pPr>
          </w:p>
        </w:tc>
        <w:tc>
          <w:tcPr>
            <w:tcW w:w="27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textAlignment w:val="auto"/>
              <w:rPr>
                <w:rFonts w:ascii="仿宋_GB2312" w:hAnsi="仿宋" w:cs="仿宋"/>
                <w:color w:val="000000"/>
                <w:sz w:val="24"/>
                <w:szCs w:val="24"/>
              </w:rPr>
            </w:pPr>
            <w:r>
              <w:rPr>
                <w:rFonts w:hint="eastAsia" w:ascii="仿宋_GB2312" w:hAnsi="仿宋" w:cs="仿宋"/>
                <w:color w:val="000000"/>
                <w:sz w:val="24"/>
                <w:szCs w:val="24"/>
              </w:rPr>
              <w:t>专业代码：</w:t>
            </w:r>
          </w:p>
        </w:tc>
        <w:tc>
          <w:tcPr>
            <w:tcW w:w="299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textAlignment w:val="auto"/>
              <w:rPr>
                <w:rFonts w:ascii="仿宋_GB2312" w:hAnsi="仿宋" w:cs="仿宋"/>
                <w:color w:val="000000"/>
                <w:sz w:val="24"/>
                <w:szCs w:val="24"/>
              </w:rPr>
            </w:pPr>
            <w:r>
              <w:rPr>
                <w:rFonts w:hint="eastAsia" w:ascii="仿宋_GB2312" w:hAnsi="仿宋" w:cs="仿宋"/>
                <w:color w:val="000000"/>
                <w:sz w:val="24"/>
                <w:szCs w:val="24"/>
              </w:rPr>
              <w:t>专业代码：</w:t>
            </w:r>
          </w:p>
        </w:tc>
      </w:tr>
      <w:tr>
        <w:tblPrEx>
          <w:tblCellMar>
            <w:top w:w="0" w:type="dxa"/>
            <w:left w:w="108" w:type="dxa"/>
            <w:bottom w:w="0" w:type="dxa"/>
            <w:right w:w="108" w:type="dxa"/>
          </w:tblCellMar>
        </w:tblPrEx>
        <w:trPr>
          <w:trHeight w:val="649" w:hRule="atLeast"/>
          <w:jc w:val="center"/>
        </w:trPr>
        <w:tc>
          <w:tcPr>
            <w:tcW w:w="306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课程名称</w:t>
            </w:r>
          </w:p>
        </w:tc>
        <w:tc>
          <w:tcPr>
            <w:tcW w:w="579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r>
        <w:tblPrEx>
          <w:tblCellMar>
            <w:top w:w="0" w:type="dxa"/>
            <w:left w:w="108" w:type="dxa"/>
            <w:bottom w:w="0" w:type="dxa"/>
            <w:right w:w="108" w:type="dxa"/>
          </w:tblCellMar>
        </w:tblPrEx>
        <w:trPr>
          <w:trHeight w:val="711" w:hRule="atLeast"/>
          <w:jc w:val="center"/>
        </w:trPr>
        <w:tc>
          <w:tcPr>
            <w:tcW w:w="3064"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作品名称</w:t>
            </w:r>
          </w:p>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（教学任务精确表述）</w:t>
            </w:r>
          </w:p>
        </w:tc>
        <w:tc>
          <w:tcPr>
            <w:tcW w:w="579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r>
        <w:tblPrEx>
          <w:tblCellMar>
            <w:top w:w="0" w:type="dxa"/>
            <w:left w:w="108" w:type="dxa"/>
            <w:bottom w:w="0" w:type="dxa"/>
            <w:right w:w="108" w:type="dxa"/>
          </w:tblCellMar>
        </w:tblPrEx>
        <w:trPr>
          <w:trHeight w:val="671" w:hRule="atLeast"/>
          <w:jc w:val="center"/>
        </w:trPr>
        <w:tc>
          <w:tcPr>
            <w:tcW w:w="179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课程总学时</w:t>
            </w:r>
          </w:p>
        </w:tc>
        <w:tc>
          <w:tcPr>
            <w:tcW w:w="127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1356"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参赛学时</w:t>
            </w:r>
          </w:p>
        </w:tc>
        <w:tc>
          <w:tcPr>
            <w:tcW w:w="1442"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186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授课班级人数</w:t>
            </w:r>
          </w:p>
        </w:tc>
        <w:tc>
          <w:tcPr>
            <w:tcW w:w="113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bl>
    <w:p>
      <w:pPr>
        <w:keepNext w:val="0"/>
        <w:keepLines w:val="0"/>
        <w:pageBreakBefore w:val="0"/>
        <w:widowControl w:val="0"/>
        <w:kinsoku/>
        <w:wordWrap/>
        <w:topLinePunct w:val="0"/>
        <w:bidi w:val="0"/>
        <w:snapToGrid w:val="0"/>
        <w:spacing w:line="440" w:lineRule="exact"/>
        <w:jc w:val="center"/>
        <w:textAlignment w:val="auto"/>
        <w:rPr>
          <w:rFonts w:ascii="仿宋_GB2312" w:hAnsi="仿宋" w:cs="仿宋"/>
          <w:b/>
          <w:color w:val="000000"/>
          <w:sz w:val="24"/>
          <w:szCs w:val="24"/>
        </w:rPr>
      </w:pPr>
    </w:p>
    <w:p>
      <w:pPr>
        <w:keepNext w:val="0"/>
        <w:keepLines w:val="0"/>
        <w:pageBreakBefore w:val="0"/>
        <w:widowControl w:val="0"/>
        <w:kinsoku/>
        <w:wordWrap/>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b/>
          <w:color w:val="000000"/>
          <w:sz w:val="24"/>
          <w:szCs w:val="24"/>
        </w:rPr>
        <w:t>参赛教师基本信息</w:t>
      </w:r>
    </w:p>
    <w:tbl>
      <w:tblPr>
        <w:tblStyle w:val="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47"/>
        <w:gridCol w:w="279"/>
        <w:gridCol w:w="709"/>
        <w:gridCol w:w="1016"/>
        <w:gridCol w:w="1114"/>
        <w:gridCol w:w="924"/>
        <w:gridCol w:w="687"/>
        <w:gridCol w:w="329"/>
        <w:gridCol w:w="13"/>
        <w:gridCol w:w="1004"/>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83"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所属单位</w:t>
            </w:r>
          </w:p>
        </w:tc>
        <w:tc>
          <w:tcPr>
            <w:tcW w:w="6157"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姓名</w:t>
            </w:r>
          </w:p>
        </w:tc>
        <w:tc>
          <w:tcPr>
            <w:tcW w:w="183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1016"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性别</w:t>
            </w:r>
          </w:p>
        </w:tc>
        <w:tc>
          <w:tcPr>
            <w:tcW w:w="111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924"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民族</w:t>
            </w:r>
          </w:p>
        </w:tc>
        <w:tc>
          <w:tcPr>
            <w:tcW w:w="101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1017"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教龄</w:t>
            </w:r>
          </w:p>
        </w:tc>
        <w:tc>
          <w:tcPr>
            <w:tcW w:w="107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95"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bookmarkStart w:id="3" w:name="_Hlk27431713"/>
            <w:r>
              <w:rPr>
                <w:rFonts w:hint="eastAsia" w:ascii="仿宋_GB2312" w:hAnsi="仿宋" w:cs="仿宋"/>
                <w:color w:val="000000"/>
                <w:sz w:val="24"/>
                <w:szCs w:val="24"/>
              </w:rPr>
              <w:t>身份证号码</w:t>
            </w:r>
            <w:bookmarkEnd w:id="3"/>
          </w:p>
        </w:tc>
        <w:tc>
          <w:tcPr>
            <w:tcW w:w="3118"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161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联系电话</w:t>
            </w:r>
          </w:p>
        </w:tc>
        <w:tc>
          <w:tcPr>
            <w:tcW w:w="2416"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职务</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 xml:space="preserve">□普通教师 □教研室负责人 □二级学院负责人 </w:t>
            </w:r>
          </w:p>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□校领导</w:t>
            </w:r>
          </w:p>
        </w:tc>
        <w:tc>
          <w:tcPr>
            <w:tcW w:w="2074" w:type="dxa"/>
            <w:gridSpan w:val="2"/>
            <w:vMerge w:val="restart"/>
            <w:tcBorders>
              <w:top w:val="nil"/>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1寸照片</w:t>
            </w:r>
          </w:p>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（可使用电子版）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职称</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□未定级 □初级 □中级 □副高 □正高</w:t>
            </w:r>
          </w:p>
        </w:tc>
        <w:tc>
          <w:tcPr>
            <w:tcW w:w="2074"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topLinePunct w:val="0"/>
              <w:bidi w:val="0"/>
              <w:spacing w:line="440" w:lineRule="exact"/>
              <w:jc w:val="left"/>
              <w:textAlignment w:val="auto"/>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学历</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□大专及以下  □本科  □硕士  □博士</w:t>
            </w:r>
          </w:p>
        </w:tc>
        <w:tc>
          <w:tcPr>
            <w:tcW w:w="2074"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topLinePunct w:val="0"/>
              <w:bidi w:val="0"/>
              <w:spacing w:line="440" w:lineRule="exact"/>
              <w:jc w:val="left"/>
              <w:textAlignment w:val="auto"/>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身份</w:t>
            </w:r>
          </w:p>
        </w:tc>
        <w:tc>
          <w:tcPr>
            <w:tcW w:w="5918"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□在职教师  □企业兼职教师</w:t>
            </w:r>
          </w:p>
        </w:tc>
        <w:tc>
          <w:tcPr>
            <w:tcW w:w="2074"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topLinePunct w:val="0"/>
              <w:bidi w:val="0"/>
              <w:spacing w:line="440" w:lineRule="exact"/>
              <w:jc w:val="left"/>
              <w:textAlignment w:val="auto"/>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4"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承担教学任务</w:t>
            </w:r>
          </w:p>
        </w:tc>
        <w:tc>
          <w:tcPr>
            <w:tcW w:w="283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c>
          <w:tcPr>
            <w:tcW w:w="1953" w:type="dxa"/>
            <w:gridSpan w:val="4"/>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拍摄视频名称</w:t>
            </w:r>
          </w:p>
        </w:tc>
        <w:tc>
          <w:tcPr>
            <w:tcW w:w="207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bl>
    <w:p>
      <w:pPr>
        <w:keepNext w:val="0"/>
        <w:keepLines w:val="0"/>
        <w:pageBreakBefore w:val="0"/>
        <w:widowControl w:val="0"/>
        <w:kinsoku/>
        <w:wordWrap/>
        <w:topLinePunct w:val="0"/>
        <w:bidi w:val="0"/>
        <w:snapToGrid w:val="0"/>
        <w:spacing w:line="440" w:lineRule="exact"/>
        <w:jc w:val="left"/>
        <w:textAlignment w:val="auto"/>
        <w:rPr>
          <w:rFonts w:ascii="仿宋_GB2312" w:hAnsi="仿宋" w:cs="仿宋"/>
          <w:bCs/>
          <w:color w:val="000000"/>
          <w:sz w:val="24"/>
          <w:szCs w:val="24"/>
        </w:rPr>
      </w:pPr>
      <w:r>
        <w:rPr>
          <w:rFonts w:hint="eastAsia" w:ascii="仿宋_GB2312" w:hAnsi="仿宋" w:cs="仿宋"/>
          <w:bCs/>
          <w:color w:val="000000"/>
          <w:sz w:val="24"/>
          <w:szCs w:val="24"/>
        </w:rPr>
        <w:t>教学团队全体成员逐一添加填写</w:t>
      </w:r>
    </w:p>
    <w:p>
      <w:pPr>
        <w:keepNext w:val="0"/>
        <w:keepLines w:val="0"/>
        <w:pageBreakBefore w:val="0"/>
        <w:widowControl w:val="0"/>
        <w:kinsoku/>
        <w:wordWrap/>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b/>
          <w:color w:val="000000"/>
          <w:sz w:val="24"/>
          <w:szCs w:val="24"/>
        </w:rPr>
        <w:t>参赛承诺与说明</w:t>
      </w:r>
    </w:p>
    <w:tbl>
      <w:tblPr>
        <w:tblStyle w:val="6"/>
        <w:tblW w:w="9039" w:type="dxa"/>
        <w:jc w:val="center"/>
        <w:tblLayout w:type="fixed"/>
        <w:tblCellMar>
          <w:top w:w="0" w:type="dxa"/>
          <w:left w:w="108" w:type="dxa"/>
          <w:bottom w:w="0" w:type="dxa"/>
          <w:right w:w="108" w:type="dxa"/>
        </w:tblCellMar>
      </w:tblPr>
      <w:tblGrid>
        <w:gridCol w:w="3365"/>
        <w:gridCol w:w="1280"/>
        <w:gridCol w:w="2269"/>
        <w:gridCol w:w="2125"/>
      </w:tblGrid>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本人未在近三年河南省教学能力大赛中获得一等奖</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以上填报作品信息、个人信息均真实无误</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保证参赛作品无知识产权异议或其他法律纠纷</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同意学校拥有对参赛作品进行公益性共享权利</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6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教学团队成员参与教学</w:t>
            </w:r>
          </w:p>
        </w:tc>
        <w:tc>
          <w:tcPr>
            <w:tcW w:w="212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□是  □否</w:t>
            </w:r>
          </w:p>
        </w:tc>
      </w:tr>
      <w:tr>
        <w:tblPrEx>
          <w:tblCellMar>
            <w:top w:w="0" w:type="dxa"/>
            <w:left w:w="108" w:type="dxa"/>
            <w:bottom w:w="0" w:type="dxa"/>
            <w:right w:w="108" w:type="dxa"/>
          </w:tblCellMar>
        </w:tblPrEx>
        <w:trPr>
          <w:trHeight w:val="740" w:hRule="atLeast"/>
          <w:jc w:val="center"/>
        </w:trPr>
        <w:tc>
          <w:tcPr>
            <w:tcW w:w="3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4"/>
                <w:szCs w:val="24"/>
              </w:rPr>
              <w:t>参加省级竞赛获奖情况</w:t>
            </w:r>
          </w:p>
        </w:tc>
        <w:tc>
          <w:tcPr>
            <w:tcW w:w="567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color w:val="000000"/>
                <w:sz w:val="24"/>
                <w:szCs w:val="24"/>
              </w:rPr>
            </w:pPr>
          </w:p>
        </w:tc>
      </w:tr>
      <w:tr>
        <w:tblPrEx>
          <w:tblCellMar>
            <w:top w:w="0" w:type="dxa"/>
            <w:left w:w="108" w:type="dxa"/>
            <w:bottom w:w="0" w:type="dxa"/>
            <w:right w:w="108" w:type="dxa"/>
          </w:tblCellMar>
        </w:tblPrEx>
        <w:trPr>
          <w:trHeight w:val="885" w:hRule="atLeast"/>
          <w:jc w:val="center"/>
        </w:trPr>
        <w:tc>
          <w:tcPr>
            <w:tcW w:w="336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_GB2312" w:hAnsi="仿宋" w:cs="仿宋"/>
                <w:b/>
                <w:bCs/>
                <w:color w:val="000000"/>
                <w:sz w:val="24"/>
                <w:szCs w:val="24"/>
              </w:rPr>
            </w:pPr>
            <w:r>
              <w:rPr>
                <w:rFonts w:hint="eastAsia" w:ascii="仿宋_GB2312" w:hAnsi="仿宋" w:cs="仿宋"/>
                <w:color w:val="000000"/>
                <w:sz w:val="24"/>
                <w:szCs w:val="24"/>
              </w:rPr>
              <w:t>个人签字</w:t>
            </w:r>
          </w:p>
        </w:tc>
        <w:tc>
          <w:tcPr>
            <w:tcW w:w="567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bidi w:val="0"/>
              <w:snapToGrid w:val="0"/>
              <w:spacing w:line="440" w:lineRule="exact"/>
              <w:textAlignment w:val="auto"/>
              <w:rPr>
                <w:rFonts w:ascii="仿宋_GB2312" w:hAnsi="仿宋" w:cs="仿宋"/>
                <w:b/>
                <w:bCs/>
                <w:color w:val="000000"/>
                <w:sz w:val="24"/>
                <w:szCs w:val="24"/>
              </w:rPr>
            </w:pPr>
          </w:p>
        </w:tc>
      </w:tr>
      <w:tr>
        <w:tblPrEx>
          <w:tblCellMar>
            <w:top w:w="0" w:type="dxa"/>
            <w:left w:w="108" w:type="dxa"/>
            <w:bottom w:w="0" w:type="dxa"/>
            <w:right w:w="108" w:type="dxa"/>
          </w:tblCellMar>
        </w:tblPrEx>
        <w:trPr>
          <w:trHeight w:val="5020" w:hRule="atLeast"/>
          <w:jc w:val="center"/>
        </w:trPr>
        <w:tc>
          <w:tcPr>
            <w:tcW w:w="4645"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bottom"/>
          </w:tcPr>
          <w:p>
            <w:pPr>
              <w:keepNext w:val="0"/>
              <w:keepLines w:val="0"/>
              <w:pageBreakBefore w:val="0"/>
              <w:widowControl w:val="0"/>
              <w:kinsoku/>
              <w:wordWrap/>
              <w:overflowPunct w:val="0"/>
              <w:topLinePunct w:val="0"/>
              <w:bidi w:val="0"/>
              <w:spacing w:line="440" w:lineRule="exact"/>
              <w:jc w:val="right"/>
              <w:textAlignment w:val="auto"/>
              <w:rPr>
                <w:rFonts w:ascii="仿宋_GB2312" w:hAnsi="仿宋" w:cs="仿宋"/>
                <w:color w:val="000000"/>
                <w:sz w:val="28"/>
                <w:szCs w:val="28"/>
              </w:rPr>
            </w:pPr>
            <w:r>
              <w:rPr>
                <w:rFonts w:hint="eastAsia" w:ascii="仿宋_GB2312" w:hAnsi="仿宋" w:cs="仿宋"/>
                <w:color w:val="000000"/>
                <w:sz w:val="28"/>
                <w:szCs w:val="28"/>
              </w:rPr>
              <w:t>（所在单位签署意见并盖章）</w:t>
            </w:r>
          </w:p>
          <w:p>
            <w:pPr>
              <w:keepNext w:val="0"/>
              <w:keepLines w:val="0"/>
              <w:pageBreakBefore w:val="0"/>
              <w:widowControl w:val="0"/>
              <w:kinsoku/>
              <w:wordWrap/>
              <w:overflowPunct w:val="0"/>
              <w:topLinePunct w:val="0"/>
              <w:bidi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8"/>
                <w:szCs w:val="28"/>
              </w:rPr>
              <w:t>日期：</w:t>
            </w:r>
          </w:p>
        </w:tc>
        <w:tc>
          <w:tcPr>
            <w:tcW w:w="439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bottom"/>
          </w:tcPr>
          <w:p>
            <w:pPr>
              <w:keepNext w:val="0"/>
              <w:keepLines w:val="0"/>
              <w:pageBreakBefore w:val="0"/>
              <w:widowControl w:val="0"/>
              <w:kinsoku/>
              <w:wordWrap/>
              <w:overflowPunct w:val="0"/>
              <w:topLinePunct w:val="0"/>
              <w:bidi w:val="0"/>
              <w:spacing w:line="440" w:lineRule="exact"/>
              <w:jc w:val="right"/>
              <w:textAlignment w:val="auto"/>
              <w:rPr>
                <w:rFonts w:ascii="仿宋_GB2312" w:hAnsi="仿宋" w:cs="仿宋"/>
                <w:color w:val="000000"/>
                <w:sz w:val="28"/>
                <w:szCs w:val="28"/>
              </w:rPr>
            </w:pPr>
            <w:r>
              <w:rPr>
                <w:rFonts w:hint="eastAsia" w:ascii="仿宋_GB2312" w:hAnsi="仿宋" w:cs="仿宋"/>
                <w:color w:val="000000"/>
                <w:sz w:val="28"/>
                <w:szCs w:val="28"/>
              </w:rPr>
              <w:t>（教务科研处签署意见并盖章）</w:t>
            </w:r>
          </w:p>
          <w:p>
            <w:pPr>
              <w:keepNext w:val="0"/>
              <w:keepLines w:val="0"/>
              <w:pageBreakBefore w:val="0"/>
              <w:widowControl w:val="0"/>
              <w:kinsoku/>
              <w:wordWrap/>
              <w:overflowPunct w:val="0"/>
              <w:topLinePunct w:val="0"/>
              <w:bidi w:val="0"/>
              <w:spacing w:line="440" w:lineRule="exact"/>
              <w:jc w:val="center"/>
              <w:textAlignment w:val="auto"/>
              <w:rPr>
                <w:rFonts w:ascii="仿宋_GB2312" w:hAnsi="仿宋" w:cs="仿宋"/>
                <w:color w:val="000000"/>
                <w:sz w:val="24"/>
                <w:szCs w:val="24"/>
              </w:rPr>
            </w:pPr>
            <w:r>
              <w:rPr>
                <w:rFonts w:hint="eastAsia" w:ascii="仿宋_GB2312" w:hAnsi="仿宋" w:cs="仿宋"/>
                <w:color w:val="000000"/>
                <w:sz w:val="28"/>
                <w:szCs w:val="28"/>
              </w:rPr>
              <w:t>日期：</w:t>
            </w:r>
          </w:p>
        </w:tc>
      </w:tr>
    </w:tbl>
    <w:p>
      <w:pPr>
        <w:keepNext w:val="0"/>
        <w:keepLines w:val="0"/>
        <w:pageBreakBefore w:val="0"/>
        <w:widowControl w:val="0"/>
        <w:kinsoku/>
        <w:wordWrap/>
        <w:topLinePunct w:val="0"/>
        <w:bidi w:val="0"/>
        <w:snapToGrid w:val="0"/>
        <w:spacing w:line="440" w:lineRule="exact"/>
        <w:jc w:val="left"/>
        <w:textAlignment w:val="auto"/>
        <w:rPr>
          <w:rFonts w:ascii="仿宋_GB2312" w:hAnsi="仿宋" w:cs="仿宋"/>
          <w:bCs/>
          <w:color w:val="000000"/>
          <w:sz w:val="24"/>
          <w:szCs w:val="24"/>
        </w:rPr>
      </w:pPr>
      <w:r>
        <w:rPr>
          <w:rFonts w:hint="eastAsia" w:ascii="仿宋_GB2312" w:hAnsi="仿宋" w:cs="仿宋"/>
          <w:bCs/>
          <w:color w:val="000000"/>
          <w:sz w:val="24"/>
          <w:szCs w:val="24"/>
        </w:rPr>
        <w:t>教学团队全体成员逐一添加填写</w:t>
      </w:r>
    </w:p>
    <w:p>
      <w:pPr>
        <w:pStyle w:val="2"/>
        <w:keepNext w:val="0"/>
        <w:keepLines w:val="0"/>
        <w:pageBreakBefore w:val="0"/>
        <w:widowControl w:val="0"/>
        <w:kinsoku/>
        <w:wordWrap/>
        <w:topLinePunct w:val="0"/>
        <w:bidi w:val="0"/>
        <w:spacing w:line="440" w:lineRule="exact"/>
        <w:textAlignment w:val="auto"/>
        <w:rPr>
          <w:rFonts w:ascii="仿宋_GB2312" w:hAnsi="仿宋" w:cs="仿宋"/>
          <w:bCs/>
        </w:rPr>
      </w:pPr>
    </w:p>
    <w:p>
      <w:pPr>
        <w:pStyle w:val="2"/>
        <w:keepNext w:val="0"/>
        <w:keepLines w:val="0"/>
        <w:pageBreakBefore w:val="0"/>
        <w:widowControl w:val="0"/>
        <w:kinsoku/>
        <w:wordWrap/>
        <w:topLinePunct w:val="0"/>
        <w:bidi w:val="0"/>
        <w:spacing w:line="440" w:lineRule="exact"/>
        <w:textAlignment w:val="auto"/>
        <w:rPr>
          <w:rFonts w:ascii="仿宋_GB2312" w:hAnsi="仿宋" w:cs="仿宋"/>
          <w:bCs/>
        </w:rPr>
      </w:pPr>
    </w:p>
    <w:p>
      <w:pPr>
        <w:pStyle w:val="2"/>
        <w:keepNext w:val="0"/>
        <w:keepLines w:val="0"/>
        <w:pageBreakBefore w:val="0"/>
        <w:widowControl w:val="0"/>
        <w:kinsoku/>
        <w:wordWrap/>
        <w:topLinePunct w:val="0"/>
        <w:bidi w:val="0"/>
        <w:spacing w:line="440" w:lineRule="exact"/>
        <w:textAlignment w:val="auto"/>
        <w:rPr>
          <w:rFonts w:ascii="仿宋_GB2312" w:hAnsi="仿宋" w:cs="仿宋"/>
          <w:bCs/>
        </w:rPr>
      </w:pPr>
    </w:p>
    <w:p>
      <w:pPr>
        <w:pStyle w:val="2"/>
        <w:keepNext w:val="0"/>
        <w:keepLines w:val="0"/>
        <w:pageBreakBefore w:val="0"/>
        <w:widowControl w:val="0"/>
        <w:kinsoku/>
        <w:wordWrap/>
        <w:topLinePunct w:val="0"/>
        <w:bidi w:val="0"/>
        <w:spacing w:line="440" w:lineRule="exact"/>
        <w:textAlignment w:val="auto"/>
        <w:rPr>
          <w:rFonts w:ascii="仿宋_GB2312" w:hAnsi="仿宋" w:cs="仿宋"/>
          <w:bCs/>
        </w:rPr>
      </w:pPr>
    </w:p>
    <w:p>
      <w:pPr>
        <w:pStyle w:val="2"/>
        <w:keepNext w:val="0"/>
        <w:keepLines w:val="0"/>
        <w:pageBreakBefore w:val="0"/>
        <w:widowControl w:val="0"/>
        <w:kinsoku/>
        <w:wordWrap/>
        <w:topLinePunct w:val="0"/>
        <w:bidi w:val="0"/>
        <w:spacing w:line="440" w:lineRule="exact"/>
        <w:textAlignment w:val="auto"/>
        <w:rPr>
          <w:rFonts w:ascii="Times New Roman" w:hAnsi="Times New Roman" w:eastAsia="方正仿宋简体"/>
          <w:sz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val="0"/>
        <w:topLinePunct w:val="0"/>
        <w:bidi w:val="0"/>
        <w:snapToGrid w:val="0"/>
        <w:spacing w:line="440" w:lineRule="exact"/>
        <w:jc w:val="left"/>
        <w:textAlignment w:val="auto"/>
        <w:rPr>
          <w:rFonts w:ascii="黑体" w:hAnsi="黑体" w:eastAsia="黑体" w:cs="仿宋"/>
          <w:sz w:val="32"/>
          <w:szCs w:val="32"/>
        </w:rPr>
      </w:pPr>
      <w:r>
        <w:rPr>
          <w:rFonts w:hint="eastAsia" w:ascii="黑体" w:hAnsi="黑体" w:eastAsia="黑体" w:cs="仿宋"/>
          <w:sz w:val="32"/>
          <w:szCs w:val="32"/>
        </w:rPr>
        <w:t>附件1-3</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郑州电力职业技术学院202</w:t>
      </w:r>
      <w:r>
        <w:rPr>
          <w:rFonts w:hint="eastAsia" w:ascii="方正小标宋简体" w:hAnsi="宋体" w:eastAsia="方正小标宋简体" w:cs="黑体"/>
          <w:sz w:val="44"/>
          <w:szCs w:val="28"/>
          <w:lang w:val="en-US" w:eastAsia="zh-CN"/>
        </w:rPr>
        <w:t>3</w:t>
      </w:r>
      <w:r>
        <w:rPr>
          <w:rFonts w:hint="eastAsia" w:ascii="方正小标宋简体" w:hAnsi="宋体" w:eastAsia="方正小标宋简体" w:cs="黑体"/>
          <w:sz w:val="44"/>
          <w:szCs w:val="28"/>
        </w:rPr>
        <w:t>年校级教学能力大赛参赛报名汇总表</w:t>
      </w:r>
    </w:p>
    <w:p>
      <w:pPr>
        <w:keepNext w:val="0"/>
        <w:keepLines w:val="0"/>
        <w:pageBreakBefore w:val="0"/>
        <w:widowControl w:val="0"/>
        <w:kinsoku/>
        <w:wordWrap/>
        <w:overflowPunct w:val="0"/>
        <w:topLinePunct w:val="0"/>
        <w:bidi w:val="0"/>
        <w:spacing w:line="440" w:lineRule="exact"/>
        <w:jc w:val="left"/>
        <w:textAlignment w:val="auto"/>
        <w:rPr>
          <w:rFonts w:ascii="宋体" w:hAnsi="宋体" w:eastAsia="宋体"/>
          <w:sz w:val="28"/>
          <w:szCs w:val="28"/>
        </w:rPr>
      </w:pPr>
      <w:r>
        <w:rPr>
          <w:rFonts w:hint="eastAsia" w:ascii="宋体" w:hAnsi="宋体" w:eastAsia="宋体"/>
          <w:sz w:val="28"/>
          <w:szCs w:val="28"/>
        </w:rPr>
        <w:t>教学部门（盖章）：                          填表人：                时间：   年   月   日</w:t>
      </w:r>
    </w:p>
    <w:tbl>
      <w:tblPr>
        <w:tblStyle w:val="6"/>
        <w:tblW w:w="13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45"/>
        <w:gridCol w:w="1897"/>
        <w:gridCol w:w="1607"/>
        <w:gridCol w:w="2757"/>
        <w:gridCol w:w="2319"/>
        <w:gridCol w:w="11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sz w:val="24"/>
                <w:szCs w:val="24"/>
              </w:rPr>
              <w:t>序号</w:t>
            </w: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组别</w:t>
            </w: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公共基础课程</w:t>
            </w:r>
          </w:p>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/专业名称</w:t>
            </w: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课程名称</w:t>
            </w: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作品名称</w:t>
            </w:r>
          </w:p>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（教学任务精确表述）</w:t>
            </w: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教学部门</w:t>
            </w:r>
          </w:p>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（规范全称）</w:t>
            </w: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教学团队</w:t>
            </w:r>
          </w:p>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联系人</w:t>
            </w: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黑体" w:hAnsi="黑体" w:eastAsia="黑体" w:cs="仿宋"/>
                <w:color w:val="000000"/>
                <w:kern w:val="0"/>
                <w:sz w:val="24"/>
                <w:szCs w:val="24"/>
              </w:rPr>
            </w:pPr>
            <w:r>
              <w:rPr>
                <w:rFonts w:hint="eastAsia" w:ascii="黑体" w:hAnsi="黑体" w:eastAsia="黑体" w:cs="仿宋"/>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宋体" w:hAnsi="宋体" w:eastAsia="宋体"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0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4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89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60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75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231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15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p>
        </w:tc>
        <w:tc>
          <w:tcPr>
            <w:tcW w:w="1587"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val="0"/>
              <w:topLinePunct w:val="0"/>
              <w:bidi w:val="0"/>
              <w:snapToGrid w:val="0"/>
              <w:spacing w:line="44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tc>
      </w:tr>
    </w:tbl>
    <w:p>
      <w:pPr>
        <w:keepNext w:val="0"/>
        <w:keepLines w:val="0"/>
        <w:pageBreakBefore w:val="0"/>
        <w:widowControl w:val="0"/>
        <w:kinsoku/>
        <w:wordWrap/>
        <w:topLinePunct w:val="0"/>
        <w:bidi w:val="0"/>
        <w:spacing w:line="440" w:lineRule="exact"/>
        <w:textAlignment w:val="auto"/>
        <w:rPr>
          <w:rFonts w:hint="eastAsia" w:ascii="楷体_GB2312" w:hAnsi="仿宋" w:eastAsia="楷体_GB2312"/>
          <w:color w:val="000000"/>
          <w:sz w:val="28"/>
          <w:szCs w:val="28"/>
          <w:u w:val="single"/>
        </w:rPr>
      </w:pPr>
      <w:r>
        <w:rPr>
          <w:rFonts w:hint="eastAsia" w:ascii="楷体_GB2312" w:hAnsi="仿宋" w:eastAsia="楷体_GB2312"/>
          <w:color w:val="000000"/>
          <w:sz w:val="28"/>
          <w:szCs w:val="28"/>
        </w:rPr>
        <w:t>填表人：</w:t>
      </w:r>
      <w:r>
        <w:rPr>
          <w:rFonts w:hint="eastAsia" w:ascii="楷体_GB2312" w:hAnsi="仿宋" w:eastAsia="楷体_GB2312"/>
          <w:color w:val="000000"/>
          <w:sz w:val="28"/>
          <w:szCs w:val="28"/>
          <w:u w:val="single"/>
        </w:rPr>
        <w:t xml:space="preserve">            </w:t>
      </w:r>
      <w:r>
        <w:rPr>
          <w:rFonts w:hint="eastAsia" w:ascii="楷体_GB2312" w:hAnsi="仿宋" w:eastAsia="楷体_GB2312"/>
          <w:color w:val="000000"/>
          <w:sz w:val="28"/>
          <w:szCs w:val="28"/>
        </w:rPr>
        <w:t>联系电话：</w:t>
      </w:r>
      <w:r>
        <w:rPr>
          <w:rFonts w:hint="eastAsia" w:ascii="楷体_GB2312" w:hAnsi="仿宋" w:eastAsia="楷体_GB2312"/>
          <w:color w:val="000000"/>
          <w:sz w:val="28"/>
          <w:szCs w:val="28"/>
          <w:u w:val="single"/>
        </w:rPr>
        <w:t xml:space="preserve">               </w:t>
      </w:r>
      <w:r>
        <w:rPr>
          <w:rFonts w:hint="eastAsia" w:ascii="楷体_GB2312" w:hAnsi="仿宋" w:eastAsia="楷体_GB2312"/>
          <w:color w:val="000000"/>
          <w:sz w:val="28"/>
          <w:szCs w:val="28"/>
        </w:rPr>
        <w:t>电子邮件：</w:t>
      </w:r>
      <w:r>
        <w:rPr>
          <w:rFonts w:hint="eastAsia" w:ascii="楷体_GB2312" w:hAnsi="仿宋" w:eastAsia="楷体_GB2312"/>
          <w:color w:val="000000"/>
          <w:sz w:val="28"/>
          <w:szCs w:val="28"/>
          <w:u w:val="single"/>
        </w:rPr>
        <w:t xml:space="preserve">                  </w:t>
      </w:r>
    </w:p>
    <w:p>
      <w:pPr>
        <w:pStyle w:val="2"/>
        <w:keepNext w:val="0"/>
        <w:keepLines w:val="0"/>
        <w:pageBreakBefore w:val="0"/>
        <w:widowControl w:val="0"/>
        <w:kinsoku/>
        <w:wordWrap/>
        <w:topLinePunct w:val="0"/>
        <w:bidi w:val="0"/>
        <w:spacing w:line="440" w:lineRule="exact"/>
        <w:textAlignment w:val="auto"/>
        <w:rPr>
          <w:rFonts w:hint="eastAsia" w:ascii="楷体_GB2312" w:hAnsi="仿宋" w:eastAsia="楷体_GB2312"/>
          <w:color w:val="000000"/>
          <w:sz w:val="28"/>
          <w:szCs w:val="28"/>
          <w:u w:val="none"/>
          <w:lang w:eastAsia="zh-CN"/>
        </w:rPr>
        <w:sectPr>
          <w:pgSz w:w="16838" w:h="11906" w:orient="landscape"/>
          <w:pgMar w:top="1800" w:right="1134" w:bottom="1800" w:left="1134" w:header="851" w:footer="992" w:gutter="0"/>
          <w:cols w:space="720" w:num="1"/>
          <w:docGrid w:type="lines" w:linePitch="312" w:charSpace="0"/>
        </w:sectPr>
      </w:pPr>
      <w:r>
        <w:rPr>
          <w:rFonts w:hint="eastAsia" w:ascii="楷体_GB2312" w:hAnsi="仿宋" w:eastAsia="楷体_GB2312"/>
          <w:color w:val="000000"/>
          <w:sz w:val="28"/>
          <w:szCs w:val="28"/>
          <w:u w:val="none"/>
          <w:lang w:eastAsia="zh-CN"/>
        </w:rPr>
        <w:t>备注：校级竞赛组别填写公共基础课程组、理工农医类课程组、文史财经类课程组（国赛的组别为专业课程组）</w:t>
      </w:r>
    </w:p>
    <w:p>
      <w:pPr>
        <w:keepNext w:val="0"/>
        <w:keepLines w:val="0"/>
        <w:pageBreakBefore w:val="0"/>
        <w:widowControl w:val="0"/>
        <w:kinsoku/>
        <w:wordWrap/>
        <w:overflowPunct w:val="0"/>
        <w:topLinePunct w:val="0"/>
        <w:bidi w:val="0"/>
        <w:snapToGrid w:val="0"/>
        <w:spacing w:line="440" w:lineRule="exact"/>
        <w:jc w:val="left"/>
        <w:textAlignment w:val="auto"/>
        <w:rPr>
          <w:rFonts w:ascii="黑体" w:hAnsi="黑体" w:eastAsia="黑体" w:cs="仿宋"/>
          <w:sz w:val="32"/>
          <w:szCs w:val="32"/>
        </w:rPr>
      </w:pPr>
      <w:r>
        <w:rPr>
          <w:rFonts w:hint="eastAsia" w:ascii="黑体" w:hAnsi="黑体" w:eastAsia="黑体" w:cs="仿宋"/>
          <w:sz w:val="32"/>
          <w:szCs w:val="32"/>
        </w:rPr>
        <w:t>附件1-4</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宋体" w:eastAsia="方正小标宋简体" w:cs="黑体"/>
          <w:sz w:val="44"/>
          <w:szCs w:val="28"/>
        </w:rPr>
      </w:pPr>
      <w:r>
        <w:rPr>
          <w:rFonts w:hint="eastAsia" w:ascii="方正小标宋简体" w:hAnsi="宋体" w:eastAsia="方正小标宋简体" w:cs="黑体"/>
          <w:sz w:val="44"/>
          <w:szCs w:val="28"/>
        </w:rPr>
        <w:t>郑州电力职业技术学院</w:t>
      </w:r>
    </w:p>
    <w:p>
      <w:pPr>
        <w:keepNext w:val="0"/>
        <w:keepLines w:val="0"/>
        <w:pageBreakBefore w:val="0"/>
        <w:widowControl w:val="0"/>
        <w:kinsoku/>
        <w:wordWrap/>
        <w:overflowPunct w:val="0"/>
        <w:topLinePunct w:val="0"/>
        <w:bidi w:val="0"/>
        <w:snapToGrid w:val="0"/>
        <w:spacing w:line="440" w:lineRule="exact"/>
        <w:jc w:val="center"/>
        <w:textAlignment w:val="auto"/>
        <w:rPr>
          <w:rFonts w:ascii="方正小标宋简体" w:hAnsi="宋体" w:eastAsia="方正小标宋简体" w:cs="黑体"/>
          <w:sz w:val="44"/>
          <w:szCs w:val="28"/>
        </w:rPr>
      </w:pPr>
      <w:r>
        <w:rPr>
          <w:rFonts w:hint="eastAsia" w:ascii="方正小标宋简体" w:hAnsi="宋体" w:eastAsia="方正小标宋简体" w:cs="黑体"/>
          <w:sz w:val="44"/>
          <w:szCs w:val="28"/>
        </w:rPr>
        <w:t>202</w:t>
      </w:r>
      <w:r>
        <w:rPr>
          <w:rFonts w:hint="eastAsia" w:ascii="方正小标宋简体" w:hAnsi="宋体" w:eastAsia="方正小标宋简体" w:cs="黑体"/>
          <w:sz w:val="44"/>
          <w:szCs w:val="28"/>
          <w:lang w:val="en-US" w:eastAsia="zh-CN"/>
        </w:rPr>
        <w:t>3</w:t>
      </w:r>
      <w:r>
        <w:rPr>
          <w:rFonts w:hint="eastAsia" w:ascii="方正小标宋简体" w:hAnsi="宋体" w:eastAsia="方正小标宋简体" w:cs="黑体"/>
          <w:sz w:val="44"/>
          <w:szCs w:val="28"/>
        </w:rPr>
        <w:t>年校级教学能力大赛评分指标</w:t>
      </w:r>
    </w:p>
    <w:p>
      <w:pPr>
        <w:keepNext w:val="0"/>
        <w:keepLines w:val="0"/>
        <w:pageBreakBefore w:val="0"/>
        <w:widowControl w:val="0"/>
        <w:kinsoku/>
        <w:wordWrap/>
        <w:overflowPunct w:val="0"/>
        <w:topLinePunct w:val="0"/>
        <w:bidi w:val="0"/>
        <w:spacing w:line="440" w:lineRule="exact"/>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一、公共基础课程组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80"/>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trPr>
        <w:tc>
          <w:tcPr>
            <w:tcW w:w="874"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bookmarkStart w:id="4" w:name="_Hlk10491916"/>
            <w:r>
              <w:rPr>
                <w:rFonts w:hint="eastAsia" w:ascii="仿宋_GB2312" w:hAnsi="仿宋_GB2312" w:eastAsia="仿宋_GB2312" w:cs="仿宋_GB2312"/>
                <w:sz w:val="24"/>
                <w:szCs w:val="28"/>
              </w:rPr>
              <w:t>评价</w:t>
            </w:r>
          </w:p>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指标</w:t>
            </w:r>
          </w:p>
        </w:tc>
        <w:tc>
          <w:tcPr>
            <w:tcW w:w="580"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分</w:t>
            </w:r>
          </w:p>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值</w:t>
            </w:r>
          </w:p>
        </w:tc>
        <w:tc>
          <w:tcPr>
            <w:tcW w:w="7496"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74" w:type="dxa"/>
            <w:vAlign w:val="center"/>
          </w:tcPr>
          <w:p>
            <w:pPr>
              <w:keepNext w:val="0"/>
              <w:keepLines w:val="0"/>
              <w:pageBreakBefore w:val="0"/>
              <w:widowControl w:val="0"/>
              <w:kinsoku/>
              <w:wordWrap/>
              <w:topLinePunct w:val="0"/>
              <w:autoSpaceDE/>
              <w:autoSpaceDN/>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目标</w:t>
            </w:r>
          </w:p>
          <w:p>
            <w:pPr>
              <w:keepNext w:val="0"/>
              <w:keepLines w:val="0"/>
              <w:pageBreakBefore w:val="0"/>
              <w:widowControl w:val="0"/>
              <w:kinsoku/>
              <w:wordWrap/>
              <w:topLinePunct w:val="0"/>
              <w:autoSpaceDE/>
              <w:autoSpaceDN/>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kern w:val="0"/>
                <w:sz w:val="24"/>
                <w:szCs w:val="28"/>
              </w:rPr>
              <w:t>学情</w:t>
            </w:r>
          </w:p>
        </w:tc>
        <w:tc>
          <w:tcPr>
            <w:tcW w:w="580"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496"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1.适应新时代对技术技能人才培养的新要求，紧扣学校专业人才培养方案和课程教学安排，强调培育学生的学习能力、信息素养、精益求精的工匠精神和爱岗敬业的劳动态度。</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2.教学目标表述明确、相互关联，重点突出、可评可测。</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3.客观分析学生知识基础、认知能力、学习特点、专业特性等，详实反映学生整体与个体情况数据，准确预判教学难点及其掌握可能。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74" w:type="dxa"/>
            <w:vAlign w:val="center"/>
          </w:tcPr>
          <w:p>
            <w:pPr>
              <w:keepNext w:val="0"/>
              <w:keepLines w:val="0"/>
              <w:pageBreakBefore w:val="0"/>
              <w:widowControl w:val="0"/>
              <w:kinsoku/>
              <w:wordWrap/>
              <w:topLinePunct w:val="0"/>
              <w:autoSpaceDE/>
              <w:autoSpaceDN/>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内容</w:t>
            </w:r>
          </w:p>
          <w:p>
            <w:pPr>
              <w:keepNext w:val="0"/>
              <w:keepLines w:val="0"/>
              <w:pageBreakBefore w:val="0"/>
              <w:widowControl w:val="0"/>
              <w:kinsoku/>
              <w:wordWrap/>
              <w:topLinePunct w:val="0"/>
              <w:autoSpaceDE/>
              <w:autoSpaceDN/>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keepNext w:val="0"/>
              <w:keepLines w:val="0"/>
              <w:pageBreakBefore w:val="0"/>
              <w:widowControl w:val="0"/>
              <w:kinsoku/>
              <w:wordWrap/>
              <w:topLinePunct w:val="0"/>
              <w:autoSpaceDE/>
              <w:autoSpaceDN/>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策略</w:t>
            </w:r>
          </w:p>
        </w:tc>
        <w:tc>
          <w:tcPr>
            <w:tcW w:w="580"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496"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w:t>
            </w:r>
            <w:bookmarkStart w:id="5" w:name="_Hlk44359443"/>
            <w:r>
              <w:rPr>
                <w:rFonts w:hint="eastAsia" w:ascii="仿宋_GB2312" w:hAnsi="仿宋_GB2312" w:eastAsia="仿宋_GB2312" w:cs="仿宋_GB2312"/>
                <w:sz w:val="24"/>
                <w:szCs w:val="28"/>
              </w:rPr>
              <w:t>思政课程按照“八个相统一”要求扎实推进创优建设</w:t>
            </w:r>
            <w:bookmarkEnd w:id="5"/>
            <w:r>
              <w:rPr>
                <w:rFonts w:hint="eastAsia" w:ascii="仿宋_GB2312" w:hAnsi="仿宋_GB2312" w:eastAsia="仿宋_GB2312" w:cs="仿宋_GB2312"/>
                <w:sz w:val="24"/>
                <w:szCs w:val="28"/>
              </w:rPr>
              <w:t>，其他课程注重落实课程思政要求；联系时代发展和社会生活，结合课程特点有机融入劳动教育内容，融通专业课程和职业能力，培育创新意识。</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2.教学内容有效支撑教学目标的实现，选择科学严谨、容量适度，安排合理、衔接有序、结构清晰。</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3.教材选用、使用符合《职业院校教材管理办法》、《郑州电力职业技术学院教材建设管理办法》等文件规定和要求，配套提供丰富、优质学习资源，教案完整、规范、简明、真实。</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4.教学过程系统优化，流程环节构思得当，技术应用预想合理，方法手段设计恰当，评价考核科学有效。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874"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实施</w:t>
            </w:r>
          </w:p>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与</w:t>
            </w:r>
          </w:p>
          <w:p>
            <w:pPr>
              <w:keepNext w:val="0"/>
              <w:keepLines w:val="0"/>
              <w:pageBreakBefore w:val="0"/>
              <w:widowControl w:val="0"/>
              <w:kinsoku/>
              <w:wordWrap/>
              <w:topLinePunct w:val="0"/>
              <w:autoSpaceDE/>
              <w:autoSpaceDN/>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sz w:val="24"/>
                <w:szCs w:val="28"/>
              </w:rPr>
              <w:t>成效</w:t>
            </w:r>
          </w:p>
        </w:tc>
        <w:tc>
          <w:tcPr>
            <w:tcW w:w="580"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30</w:t>
            </w:r>
          </w:p>
        </w:tc>
        <w:tc>
          <w:tcPr>
            <w:tcW w:w="7496"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1.体现先进教育思想和教学理念，遵循学生认知规律，符合课内外教学实际。</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2.按照教学设计实施教学，关注重点、难点的解决，能够针对学习反馈及时调整教学，突出学生中心，实行因材施教。</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3.教学环境满足需求，教学活动开展有序，教学互动深入有效，教学气氛生动活泼。</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4.关注教与学全过程信息采集，针对目标要求开展考核与评价。</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5.合理运用信息技术、数字资源、信息化教学设施设备提高教学与管理成效。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874"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教学</w:t>
            </w:r>
          </w:p>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素养</w:t>
            </w:r>
          </w:p>
        </w:tc>
        <w:tc>
          <w:tcPr>
            <w:tcW w:w="580"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496"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1.充分展现新时代职业院校教师良好的师德师风、教学技能和信息素养，发挥教学团队协作优势；老中青传帮带效果显著。</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2.教师课堂教学态度认真、严谨规范、表述清晰、亲和力强。</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3.教学实施报告客观记载、真实反映、深刻反思教与学的成效与不足，提出教学设计与课堂实施的改进设想。</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4.决赛现场的内容介绍、教学展示和回答提问聚焦主题、科学准确、思路清晰、逻辑严谨、研究深入、手段得当、简洁明了、表达流畅。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74"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特色</w:t>
            </w:r>
          </w:p>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创新</w:t>
            </w:r>
          </w:p>
        </w:tc>
        <w:tc>
          <w:tcPr>
            <w:tcW w:w="580"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496" w:type="dxa"/>
            <w:vAlign w:val="center"/>
          </w:tcPr>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1.能够引导学生树立正确的理想信念、学会正确的思维方法、培育正确的劳动观念、增强学生职业荣誉感。</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2.能够创新教学模式，给学生深刻的学习体验。</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3.能够与时俱进地提高信息技术应用能力、教研科研能力。</w:t>
            </w:r>
          </w:p>
          <w:p>
            <w:pPr>
              <w:keepNext w:val="0"/>
              <w:keepLines w:val="0"/>
              <w:pageBreakBefore w:val="0"/>
              <w:widowControl w:val="0"/>
              <w:kinsoku/>
              <w:wordWrap/>
              <w:overflowPunct w:val="0"/>
              <w:topLinePunct w:val="0"/>
              <w:autoSpaceDE/>
              <w:autoSpaceDN/>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4.具有较大借鉴和推广价值，特别是疫情防控常态化形势下的线上线下混合式教学实践。</w:t>
            </w:r>
          </w:p>
        </w:tc>
      </w:tr>
      <w:bookmarkEnd w:id="4"/>
    </w:tbl>
    <w:p>
      <w:pPr>
        <w:keepNext w:val="0"/>
        <w:keepLines w:val="0"/>
        <w:pageBreakBefore w:val="0"/>
        <w:widowControl w:val="0"/>
        <w:kinsoku/>
        <w:wordWrap/>
        <w:topLinePunct w:val="0"/>
        <w:bidi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keepNext w:val="0"/>
        <w:keepLines w:val="0"/>
        <w:pageBreakBefore w:val="0"/>
        <w:widowControl w:val="0"/>
        <w:kinsoku/>
        <w:wordWrap/>
        <w:overflowPunct w:val="0"/>
        <w:topLinePunct w:val="0"/>
        <w:bidi w:val="0"/>
        <w:spacing w:line="440" w:lineRule="exact"/>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二、专业（技能）课程组</w:t>
      </w:r>
    </w:p>
    <w:tbl>
      <w:tblPr>
        <w:tblStyle w:val="6"/>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72"/>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596"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评价</w:t>
            </w:r>
          </w:p>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指标</w:t>
            </w:r>
          </w:p>
        </w:tc>
        <w:tc>
          <w:tcPr>
            <w:tcW w:w="572"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分</w:t>
            </w:r>
          </w:p>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值</w:t>
            </w:r>
          </w:p>
        </w:tc>
        <w:tc>
          <w:tcPr>
            <w:tcW w:w="7607"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96" w:type="dxa"/>
            <w:tcMar>
              <w:left w:w="28" w:type="dxa"/>
              <w:right w:w="28" w:type="dxa"/>
            </w:tcMar>
            <w:vAlign w:val="center"/>
          </w:tcPr>
          <w:p>
            <w:pPr>
              <w:keepNext w:val="0"/>
              <w:keepLines w:val="0"/>
              <w:pageBreakBefore w:val="0"/>
              <w:widowControl w:val="0"/>
              <w:kinsoku/>
              <w:wordWrap/>
              <w:topLinePunct w:val="0"/>
              <w:autoSpaceDE w:val="0"/>
              <w:autoSpaceDN w:val="0"/>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目标</w:t>
            </w:r>
          </w:p>
          <w:p>
            <w:pPr>
              <w:keepNext w:val="0"/>
              <w:keepLines w:val="0"/>
              <w:pageBreakBefore w:val="0"/>
              <w:widowControl w:val="0"/>
              <w:kinsoku/>
              <w:wordWrap/>
              <w:topLinePunct w:val="0"/>
              <w:autoSpaceDE w:val="0"/>
              <w:autoSpaceDN w:val="0"/>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keepNext w:val="0"/>
              <w:keepLines w:val="0"/>
              <w:pageBreakBefore w:val="0"/>
              <w:widowControl w:val="0"/>
              <w:kinsoku/>
              <w:wordWrap/>
              <w:topLinePunct w:val="0"/>
              <w:autoSpaceDE w:val="0"/>
              <w:autoSpaceDN w:val="0"/>
              <w:bidi w:val="0"/>
              <w:adjustRightInd/>
              <w:snapToGrid w:val="0"/>
              <w:spacing w:line="400" w:lineRule="exact"/>
              <w:jc w:val="center"/>
              <w:textAlignment w:val="auto"/>
              <w:rPr>
                <w:rFonts w:ascii="仿宋_GB2312" w:hAnsi="仿宋_GB2312" w:eastAsia="仿宋_GB2312" w:cs="仿宋_GB2312"/>
                <w:kern w:val="0"/>
                <w:sz w:val="24"/>
                <w:szCs w:val="28"/>
                <w:lang w:eastAsia="en-US"/>
              </w:rPr>
            </w:pPr>
            <w:r>
              <w:rPr>
                <w:rFonts w:hint="eastAsia" w:ascii="仿宋_GB2312" w:hAnsi="仿宋_GB2312" w:eastAsia="仿宋_GB2312" w:cs="仿宋_GB2312"/>
                <w:kern w:val="0"/>
                <w:sz w:val="24"/>
                <w:szCs w:val="28"/>
              </w:rPr>
              <w:t>学情</w:t>
            </w:r>
          </w:p>
        </w:tc>
        <w:tc>
          <w:tcPr>
            <w:tcW w:w="572" w:type="dxa"/>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607" w:type="dxa"/>
            <w:vAlign w:val="center"/>
          </w:tcPr>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适应新时代对技术技能人才培养的新要求，符合教育部发布的专业教学标准、实训教学条件建设标准（仪器设备装备规范）、顶岗实习标准等有关要求，涉及1+X证书制度试点的专业，还应对接有关职业技能等级标准。紧扣学校专业人才培养方案和课程标准，强调培育学生学习能力、信息素养、职业能力、精益求精的工匠精神和爱岗敬业的劳动态度。</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2.教学目标表述明确、相互关联，重点突出、可评可测。</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3.客观分析学生的知识和技能基础、认知和实践能力、学习特点等，详实反映学生整体与个体情况数据，准确预判教学难点及其掌握可能。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596" w:type="dxa"/>
            <w:tcMar>
              <w:left w:w="28" w:type="dxa"/>
              <w:right w:w="28" w:type="dxa"/>
            </w:tcMar>
            <w:vAlign w:val="center"/>
          </w:tcPr>
          <w:p>
            <w:pPr>
              <w:keepNext w:val="0"/>
              <w:keepLines w:val="0"/>
              <w:pageBreakBefore w:val="0"/>
              <w:widowControl w:val="0"/>
              <w:kinsoku/>
              <w:wordWrap/>
              <w:topLinePunct w:val="0"/>
              <w:autoSpaceDE w:val="0"/>
              <w:autoSpaceDN w:val="0"/>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内容</w:t>
            </w:r>
          </w:p>
          <w:p>
            <w:pPr>
              <w:keepNext w:val="0"/>
              <w:keepLines w:val="0"/>
              <w:pageBreakBefore w:val="0"/>
              <w:widowControl w:val="0"/>
              <w:kinsoku/>
              <w:wordWrap/>
              <w:topLinePunct w:val="0"/>
              <w:autoSpaceDE w:val="0"/>
              <w:autoSpaceDN w:val="0"/>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与</w:t>
            </w:r>
          </w:p>
          <w:p>
            <w:pPr>
              <w:keepNext w:val="0"/>
              <w:keepLines w:val="0"/>
              <w:pageBreakBefore w:val="0"/>
              <w:widowControl w:val="0"/>
              <w:kinsoku/>
              <w:wordWrap/>
              <w:topLinePunct w:val="0"/>
              <w:autoSpaceDE w:val="0"/>
              <w:autoSpaceDN w:val="0"/>
              <w:bidi w:val="0"/>
              <w:adjustRightInd/>
              <w:snapToGrid w:val="0"/>
              <w:spacing w:line="400" w:lineRule="exact"/>
              <w:jc w:val="center"/>
              <w:textAlignment w:val="auto"/>
              <w:rPr>
                <w:rFonts w:ascii="仿宋_GB2312" w:hAnsi="仿宋_GB2312" w:eastAsia="仿宋_GB2312" w:cs="仿宋_GB2312"/>
                <w:kern w:val="0"/>
                <w:sz w:val="24"/>
                <w:szCs w:val="28"/>
              </w:rPr>
            </w:pPr>
            <w:r>
              <w:rPr>
                <w:rFonts w:hint="eastAsia" w:ascii="仿宋_GB2312" w:hAnsi="仿宋_GB2312" w:eastAsia="仿宋_GB2312" w:cs="仿宋_GB2312"/>
                <w:kern w:val="0"/>
                <w:sz w:val="24"/>
                <w:szCs w:val="28"/>
              </w:rPr>
              <w:t>策略</w:t>
            </w:r>
          </w:p>
        </w:tc>
        <w:tc>
          <w:tcPr>
            <w:tcW w:w="572" w:type="dxa"/>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20</w:t>
            </w:r>
          </w:p>
        </w:tc>
        <w:tc>
          <w:tcPr>
            <w:tcW w:w="7607" w:type="dxa"/>
            <w:vAlign w:val="center"/>
          </w:tcPr>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w:t>
            </w:r>
            <w:bookmarkStart w:id="6" w:name="_Hlk44359470"/>
            <w:r>
              <w:rPr>
                <w:rFonts w:hint="eastAsia" w:ascii="仿宋_GB2312" w:hAnsi="仿宋_GB2312" w:eastAsia="仿宋_GB2312" w:cs="仿宋_GB2312"/>
                <w:sz w:val="24"/>
                <w:szCs w:val="28"/>
              </w:rPr>
              <w:t>深入挖掘课程思政元素，有机融入课程教学</w:t>
            </w:r>
            <w:bookmarkEnd w:id="6"/>
            <w:r>
              <w:rPr>
                <w:rFonts w:hint="eastAsia" w:ascii="仿宋_GB2312" w:hAnsi="仿宋_GB2312" w:eastAsia="仿宋_GB2312" w:cs="仿宋_GB2312"/>
                <w:sz w:val="24"/>
                <w:szCs w:val="28"/>
              </w:rPr>
              <w:t>，及时反映相关领域产业升级的新技术、新工艺、新规范，结合课程特点有机融入劳动教育内容，开展劳动精神、劳模精神、工匠精神专题教育。针对基于职业工作过程建设模块化课程的需求，优化教学内容。</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2.教学内容有效支撑教学目标的实现，选择科学严谨、容量适度，安排合理、衔接有序、结构清晰。实训教学内容源于真实工作任务、项目或工作流程、过程等。</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教材选用符合《职业院校教材管理办法》、《郑州电力职业技术学院教材建设管理办法》等文件规定和要求，探索使用新型活页式、工作手册式教材并配套信息化资源，引入典型生产案例。教案完整、规范、简明、真实。</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4.根据项目式、案例式等教学需要，教学过程系统优化，流程环节构思得当，技术应用预想合理，方法手段设计恰当，评价考核考虑周全。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6"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实施</w:t>
            </w:r>
          </w:p>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与</w:t>
            </w:r>
          </w:p>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成效</w:t>
            </w:r>
          </w:p>
        </w:tc>
        <w:tc>
          <w:tcPr>
            <w:tcW w:w="572" w:type="dxa"/>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30</w:t>
            </w:r>
          </w:p>
        </w:tc>
        <w:tc>
          <w:tcPr>
            <w:tcW w:w="7607" w:type="dxa"/>
            <w:vAlign w:val="center"/>
          </w:tcPr>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1.体现先进教育思想和教学理念，遵循学生认知规律，符合课内外教学实际，落实德技并修、工学结合。</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2.按照教学设计实施教学，关注技术技能教学重点、难点的解决，能够针对学习和实践反馈及时调整教学，突出学生中心，强调知行合一，实行因材施教。针对不同生源特点，体现灵活的教学组织形式。</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3.教学环境满足需求，教学活动安全有序，教学互动深入有效，教学气氛生动活泼。</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4.关注教与学全过程的信息采集，针对目标要求开展教学与实践的考核与评价。</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5.合理运用云计算、大数据、物联网、虚拟仿真、增强现实、人工智能、区块链等信息技术以及数字资源、信息化教学设施设备改造传统教学与实践方式、提高管理成效。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6"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教学</w:t>
            </w:r>
          </w:p>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素养</w:t>
            </w:r>
          </w:p>
        </w:tc>
        <w:tc>
          <w:tcPr>
            <w:tcW w:w="572" w:type="dxa"/>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607" w:type="dxa"/>
            <w:vAlign w:val="center"/>
          </w:tcPr>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1.充分展现新时代职业院校教师良好的师德师风、教学技能、实践能力和信息素养，发挥教学团队协作优势；老中青传帮带效果显著。</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2.课堂教学态度认真、严谨规范、表述清晰、亲和力强。</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3.实训教学讲解和操作配合恰当，规范娴熟、示范有效，符合职业岗位要求，展现良好“双师”素养。</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4.教学实施报告客观记载、真实反映、深刻反思理论、实践教与学的成效与不足，提出教学设计与课堂实施的改进设想。</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5.决赛现场的内容介绍、教学展示和回答提问聚焦主题、科学准确、思路清晰、逻辑严谨、研究深入、手段得当、简洁明了、表达流畅。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596"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特色</w:t>
            </w:r>
          </w:p>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创新</w:t>
            </w:r>
          </w:p>
        </w:tc>
        <w:tc>
          <w:tcPr>
            <w:tcW w:w="572"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jc w:val="center"/>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15</w:t>
            </w:r>
          </w:p>
        </w:tc>
        <w:tc>
          <w:tcPr>
            <w:tcW w:w="7607" w:type="dxa"/>
            <w:tcMar>
              <w:left w:w="28" w:type="dxa"/>
              <w:right w:w="28" w:type="dxa"/>
            </w:tcMar>
            <w:vAlign w:val="center"/>
          </w:tcPr>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1.能够引导学生树立正确的理想信念、学会正确的思维方法、培育正确的劳动观念、增强学生职业荣誉感。</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2.能够创新教学与实训模式，给学生深刻的学习与实践体验。</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3.能够与时俱进地更新专业知识、积累实践技能、提高信息技术应用能力和教研科研能力。</w:t>
            </w:r>
          </w:p>
          <w:p>
            <w:pPr>
              <w:keepNext w:val="0"/>
              <w:keepLines w:val="0"/>
              <w:pageBreakBefore w:val="0"/>
              <w:widowControl w:val="0"/>
              <w:kinsoku/>
              <w:wordWrap/>
              <w:overflowPunct w:val="0"/>
              <w:topLinePunct w:val="0"/>
              <w:bidi w:val="0"/>
              <w:adjustRightInd/>
              <w:snapToGrid w:val="0"/>
              <w:spacing w:line="400" w:lineRule="exact"/>
              <w:textAlignment w:val="auto"/>
              <w:rPr>
                <w:rFonts w:ascii="仿宋_GB2312" w:hAnsi="仿宋_GB2312" w:eastAsia="仿宋_GB2312" w:cs="仿宋_GB2312"/>
                <w:sz w:val="24"/>
                <w:szCs w:val="28"/>
              </w:rPr>
            </w:pPr>
            <w:r>
              <w:rPr>
                <w:rFonts w:hint="eastAsia" w:ascii="仿宋_GB2312" w:hAnsi="仿宋_GB2312" w:eastAsia="仿宋_GB2312" w:cs="仿宋_GB2312"/>
                <w:sz w:val="24"/>
                <w:szCs w:val="28"/>
              </w:rPr>
              <w:t>4.具有较大借鉴和推广价值，特别是疫情防控常态化形势下的线上线下混合式教学实践。</w:t>
            </w:r>
          </w:p>
        </w:tc>
      </w:tr>
    </w:tbl>
    <w:p>
      <w:pPr>
        <w:keepNext w:val="0"/>
        <w:keepLines w:val="0"/>
        <w:pageBreakBefore w:val="0"/>
        <w:widowControl w:val="0"/>
        <w:kinsoku/>
        <w:wordWrap/>
        <w:topLinePunct w:val="0"/>
        <w:bidi w:val="0"/>
        <w:spacing w:line="440" w:lineRule="exact"/>
        <w:textAlignment w:val="auto"/>
      </w:pPr>
    </w:p>
    <w:p>
      <w:pPr>
        <w:keepNext w:val="0"/>
        <w:keepLines w:val="0"/>
        <w:pageBreakBefore w:val="0"/>
        <w:widowControl w:val="0"/>
        <w:kinsoku/>
        <w:wordWrap/>
        <w:topLinePunct w:val="0"/>
        <w:bidi w:val="0"/>
        <w:rPr>
          <w:rFonts w:hint="eastAsia" w:ascii="黑体" w:hAnsi="黑体" w:eastAsia="黑体" w:cs="黑体"/>
          <w:sz w:val="36"/>
          <w:szCs w:val="36"/>
        </w:rPr>
      </w:pPr>
      <w:r>
        <w:rPr>
          <w:rFonts w:hint="eastAsia" w:ascii="黑体" w:hAnsi="黑体" w:eastAsia="黑体" w:cs="黑体"/>
          <w:sz w:val="36"/>
          <w:szCs w:val="36"/>
        </w:rPr>
        <w:br w:type="page"/>
      </w:r>
    </w:p>
    <w:p>
      <w:pPr>
        <w:keepNext w:val="0"/>
        <w:keepLines w:val="0"/>
        <w:pageBreakBefore w:val="0"/>
        <w:widowControl w:val="0"/>
        <w:kinsoku/>
        <w:wordWrap/>
        <w:topLinePunct w:val="0"/>
        <w:bidi w:val="0"/>
        <w:spacing w:line="440" w:lineRule="exact"/>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p>
    <w:p>
      <w:pPr>
        <w:keepNext w:val="0"/>
        <w:keepLines w:val="0"/>
        <w:pageBreakBefore w:val="0"/>
        <w:widowControl w:val="0"/>
        <w:kinsoku/>
        <w:wordWrap/>
        <w:topLinePunct w:val="0"/>
        <w:bidi w:val="0"/>
        <w:spacing w:line="440" w:lineRule="exact"/>
        <w:jc w:val="center"/>
        <w:textAlignment w:val="auto"/>
        <w:rPr>
          <w:rFonts w:ascii="黑体" w:hAnsi="黑体" w:eastAsia="黑体" w:cs="黑体"/>
          <w:sz w:val="36"/>
          <w:szCs w:val="36"/>
        </w:rPr>
      </w:pPr>
      <w:r>
        <w:rPr>
          <w:rFonts w:hint="eastAsia" w:ascii="黑体" w:hAnsi="黑体" w:eastAsia="黑体" w:cs="黑体"/>
          <w:sz w:val="36"/>
          <w:szCs w:val="36"/>
        </w:rPr>
        <w:t>郑州电力职业技术学院</w:t>
      </w:r>
    </w:p>
    <w:p>
      <w:pPr>
        <w:pStyle w:val="2"/>
        <w:keepNext w:val="0"/>
        <w:keepLines w:val="0"/>
        <w:pageBreakBefore w:val="0"/>
        <w:widowControl w:val="0"/>
        <w:kinsoku/>
        <w:wordWrap/>
        <w:topLinePunct w:val="0"/>
        <w:bidi w:val="0"/>
        <w:spacing w:line="440" w:lineRule="exact"/>
        <w:jc w:val="center"/>
        <w:textAlignment w:val="auto"/>
        <w:rPr>
          <w:rFonts w:hint="eastAsia"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2023年课堂教学创新大赛活动方案</w:t>
      </w:r>
    </w:p>
    <w:p>
      <w:pPr>
        <w:keepNext w:val="0"/>
        <w:keepLines w:val="0"/>
        <w:pageBreakBefore w:val="0"/>
        <w:widowControl w:val="0"/>
        <w:suppressLineNumbers w:val="0"/>
        <w:kinsoku/>
        <w:wordWrap/>
        <w:topLinePunct w:val="0"/>
        <w:bidi w:val="0"/>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为落实立德树人根本任务，全面提升全体教师教学创新能力， </w:t>
      </w:r>
    </w:p>
    <w:p>
      <w:pPr>
        <w:keepNext w:val="0"/>
        <w:keepLines w:val="0"/>
        <w:pageBreakBefore w:val="0"/>
        <w:widowControl w:val="0"/>
        <w:suppressLineNumbers w:val="0"/>
        <w:kinsoku/>
        <w:wordWrap/>
        <w:topLinePunct w:val="0"/>
        <w:bidi w:val="0"/>
        <w:spacing w:line="440" w:lineRule="exact"/>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推动日常课堂教学模式创新，提升人才培养质量，借鉴“岗课赛 </w:t>
      </w:r>
    </w:p>
    <w:p>
      <w:pPr>
        <w:keepNext w:val="0"/>
        <w:keepLines w:val="0"/>
        <w:pageBreakBefore w:val="0"/>
        <w:widowControl w:val="0"/>
        <w:suppressLineNumbers w:val="0"/>
        <w:kinsoku/>
        <w:wordWrap/>
        <w:topLinePunct w:val="0"/>
        <w:bidi w:val="0"/>
        <w:spacing w:line="440" w:lineRule="exact"/>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证”综合育人模式，面向日常课堂教学，促进全体教师全员参与， </w:t>
      </w:r>
    </w:p>
    <w:p>
      <w:pPr>
        <w:keepNext w:val="0"/>
        <w:keepLines w:val="0"/>
        <w:pageBreakBefore w:val="0"/>
        <w:widowControl w:val="0"/>
        <w:suppressLineNumbers w:val="0"/>
        <w:kinsoku/>
        <w:wordWrap/>
        <w:topLinePunct w:val="0"/>
        <w:bidi w:val="0"/>
        <w:spacing w:line="440" w:lineRule="exact"/>
        <w:jc w:val="left"/>
        <w:textAlignment w:val="auto"/>
      </w:pPr>
      <w:r>
        <w:rPr>
          <w:rFonts w:hint="eastAsia" w:ascii="仿宋" w:hAnsi="仿宋" w:eastAsia="仿宋" w:cs="仿宋"/>
          <w:color w:val="auto"/>
          <w:kern w:val="2"/>
          <w:sz w:val="30"/>
          <w:szCs w:val="30"/>
          <w:lang w:val="en-US" w:eastAsia="zh-CN" w:bidi="ar-SA"/>
        </w:rPr>
        <w:t>以学习者为中心，以赛促教，以赛促学，制订郑州电力职业技术学院2023年课堂教学创新大赛（简称课堂创新大赛）活动方案。</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一</w:t>
      </w:r>
      <w:r>
        <w:rPr>
          <w:rFonts w:ascii="黑体" w:hAnsi="黑体" w:eastAsia="黑体" w:cs="Times New Roman"/>
          <w:color w:val="000000"/>
          <w:sz w:val="30"/>
          <w:szCs w:val="30"/>
        </w:rPr>
        <w:t>、参赛教师要求</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1.师德高尚，爱岗敬业，为人师表。</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2.参赛以个人形式参赛，教龄2年以上（含）且实际承担参赛课程或相关课程教学（含实习指导)）任务。</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ascii="仿宋" w:hAnsi="仿宋" w:eastAsia="仿宋" w:cs="仿宋"/>
          <w:sz w:val="30"/>
          <w:szCs w:val="30"/>
        </w:rPr>
      </w:pPr>
      <w:r>
        <w:rPr>
          <w:rFonts w:hint="eastAsia" w:ascii="仿宋" w:hAnsi="仿宋" w:eastAsia="仿宋" w:cs="仿宋"/>
          <w:color w:val="auto"/>
          <w:kern w:val="2"/>
          <w:sz w:val="30"/>
          <w:szCs w:val="30"/>
          <w:lang w:val="en-US" w:eastAsia="zh-CN" w:bidi="ar-SA"/>
        </w:rPr>
        <w:t>3.鼓励省市级以上职业教育教学名师、教学成果奖主持人以及具有高级专业技术职务的优秀教师报名参赛。</w:t>
      </w:r>
    </w:p>
    <w:p>
      <w:pPr>
        <w:keepNext w:val="0"/>
        <w:keepLines w:val="0"/>
        <w:pageBreakBefore w:val="0"/>
        <w:widowControl w:val="0"/>
        <w:kinsoku/>
        <w:wordWrap/>
        <w:topLinePunct w:val="0"/>
        <w:bidi w:val="0"/>
        <w:spacing w:line="440" w:lineRule="exact"/>
        <w:ind w:firstLine="600" w:firstLineChars="200"/>
        <w:jc w:val="left"/>
        <w:textAlignment w:val="auto"/>
      </w:pPr>
      <w:r>
        <w:rPr>
          <w:rFonts w:hint="eastAsia" w:ascii="黑体" w:hAnsi="黑体" w:eastAsia="黑体" w:cs="Times New Roman"/>
          <w:color w:val="000000"/>
          <w:sz w:val="30"/>
          <w:szCs w:val="30"/>
        </w:rPr>
        <w:t>二、竞赛设置</w:t>
      </w:r>
      <w:r>
        <w:rPr>
          <w:rFonts w:hint="eastAsia" w:ascii="黑体" w:hAnsi="宋体" w:eastAsia="黑体" w:cs="黑体"/>
          <w:color w:val="000000"/>
          <w:kern w:val="0"/>
          <w:sz w:val="31"/>
          <w:szCs w:val="31"/>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（一）竞赛分组。根据教育部《职业教育专业目录（2021 年）》，设公共基础课程组、理工农医类课程组、文史财经类课程组等3个组别。</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1.公共基础课程组。包括专业人才培养方案课程教学计划表（1）中所有公共基础课程。 </w:t>
      </w:r>
    </w:p>
    <w:p>
      <w:pPr>
        <w:keepNext w:val="0"/>
        <w:keepLines w:val="0"/>
        <w:pageBreakBefore w:val="0"/>
        <w:widowControl w:val="0"/>
        <w:suppressLineNumbers w:val="0"/>
        <w:kinsoku/>
        <w:wordWrap/>
        <w:overflowPunct/>
        <w:topLinePunct w:val="0"/>
        <w:autoSpaceDE/>
        <w:autoSpaceDN/>
        <w:bidi w:val="0"/>
        <w:adjustRightInd w:val="0"/>
        <w:snapToGrid w:val="0"/>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理工农医类课程组。包括装备制造大类、电子信息大类、土木建筑大类、交通运输大类、资源环境与安全大类、能源动力与材料大类、生物与化工大类、水利大类、轻工纺织大类、医药卫生大类、食品药品与粮食大类、农林牧渔大类的专业类。（电力工程学院11个专业、机电工程学院9个专业、信息工程学院9个专业、经济管理学院1个专业、车辆工程学院5个专业、艺术传媒学院4个专业共39个专业，信息工程学院计算机信息技术课程参加公共基础课程组）</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3.文史财经类课程组。包括财经商贸大类、旅游大类、教育与体育大类、文化艺术大类、公安与司法大类、公共管理与服务大类、新闻传播大类的专业类。（经济管理学院10个专业、艺术传媒学院3个专业共13个专业）</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（二）参赛名额。</w:t>
      </w:r>
    </w:p>
    <w:p>
      <w:pPr>
        <w:keepNext w:val="0"/>
        <w:keepLines w:val="0"/>
        <w:pageBreakBefore w:val="0"/>
        <w:widowControl w:val="0"/>
        <w:kinsoku/>
        <w:wordWrap/>
        <w:topLinePunct w:val="0"/>
        <w:bidi w:val="0"/>
        <w:spacing w:line="440" w:lineRule="exact"/>
        <w:jc w:val="center"/>
        <w:textAlignment w:val="auto"/>
        <w:rPr>
          <w:rFonts w:ascii="仿宋" w:hAnsi="仿宋" w:eastAsia="仿宋" w:cs="仿宋"/>
          <w:sz w:val="30"/>
          <w:szCs w:val="30"/>
        </w:rPr>
      </w:pPr>
      <w:r>
        <w:rPr>
          <w:rFonts w:hint="eastAsia" w:ascii="仿宋" w:hAnsi="仿宋" w:eastAsia="仿宋" w:cs="仿宋"/>
          <w:sz w:val="30"/>
          <w:szCs w:val="30"/>
        </w:rPr>
        <w:t>名额分配表</w:t>
      </w:r>
    </w:p>
    <w:tbl>
      <w:tblPr>
        <w:tblStyle w:val="6"/>
        <w:tblW w:w="895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285"/>
        <w:gridCol w:w="1458"/>
        <w:gridCol w:w="266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序号</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教学单位</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lang w:eastAsia="zh-CN"/>
              </w:rPr>
              <w:t>校赛</w:t>
            </w:r>
            <w:r>
              <w:rPr>
                <w:rFonts w:hint="eastAsia" w:ascii="楷体" w:hAnsi="楷体" w:eastAsia="楷体" w:cs="楷体"/>
                <w:b/>
                <w:bCs/>
                <w:sz w:val="28"/>
                <w:szCs w:val="28"/>
              </w:rPr>
              <w:t>名额</w:t>
            </w:r>
          </w:p>
        </w:tc>
        <w:tc>
          <w:tcPr>
            <w:tcW w:w="266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参赛组别</w:t>
            </w:r>
          </w:p>
        </w:tc>
        <w:tc>
          <w:tcPr>
            <w:tcW w:w="138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b/>
                <w:bCs/>
                <w:sz w:val="28"/>
                <w:szCs w:val="28"/>
              </w:rPr>
            </w:pPr>
            <w:r>
              <w:rPr>
                <w:rFonts w:hint="eastAsia" w:ascii="楷体" w:hAnsi="楷体" w:eastAsia="楷体" w:cs="楷体"/>
                <w:b/>
                <w:bCs/>
                <w:sz w:val="28"/>
                <w:szCs w:val="28"/>
              </w:rPr>
              <w:t>分组合计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1</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eastAsia="zh-CN"/>
              </w:rPr>
            </w:pPr>
            <w:r>
              <w:rPr>
                <w:rFonts w:hint="eastAsia" w:ascii="楷体" w:hAnsi="楷体" w:eastAsia="楷体" w:cs="楷体"/>
                <w:sz w:val="24"/>
                <w:lang w:eastAsia="zh-CN"/>
              </w:rPr>
              <w:t>公共教学部、马克思主义学院及除公共教学部、马克思主义学院负责的公共选修课、公共必修课</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eastAsia="zh-CN"/>
              </w:rPr>
            </w:pPr>
            <w:r>
              <w:rPr>
                <w:rFonts w:hint="eastAsia" w:ascii="楷体" w:hAnsi="楷体" w:eastAsia="楷体" w:cs="楷体"/>
                <w:sz w:val="24"/>
                <w:lang w:val="en-US" w:eastAsia="zh-CN"/>
              </w:rPr>
              <w:t>5</w:t>
            </w:r>
          </w:p>
        </w:tc>
        <w:tc>
          <w:tcPr>
            <w:tcW w:w="2664"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公共基础课程组</w:t>
            </w:r>
          </w:p>
        </w:tc>
        <w:tc>
          <w:tcPr>
            <w:tcW w:w="138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eastAsia="zh-CN"/>
              </w:rPr>
            </w:pPr>
            <w:r>
              <w:rPr>
                <w:rFonts w:hint="eastAsia" w:ascii="楷体" w:hAnsi="楷体" w:eastAsia="楷体" w:cs="楷体"/>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6</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电力工程学院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szCs w:val="24"/>
                <w:lang w:val="en-US" w:eastAsia="zh-CN"/>
              </w:rPr>
              <w:t>3</w:t>
            </w:r>
          </w:p>
        </w:tc>
        <w:tc>
          <w:tcPr>
            <w:tcW w:w="2664" w:type="dxa"/>
            <w:vMerge w:val="restart"/>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理工农医类课程组</w:t>
            </w:r>
          </w:p>
        </w:tc>
        <w:tc>
          <w:tcPr>
            <w:tcW w:w="1388" w:type="dxa"/>
            <w:vMerge w:val="restart"/>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default" w:ascii="楷体" w:hAnsi="楷体" w:eastAsia="楷体" w:cs="楷体"/>
                <w:sz w:val="24"/>
                <w:lang w:val="en-US" w:eastAsia="zh-CN"/>
              </w:rPr>
            </w:pPr>
            <w:r>
              <w:rPr>
                <w:rFonts w:hint="eastAsia" w:ascii="楷体" w:hAnsi="楷体" w:eastAsia="楷体" w:cs="楷体"/>
                <w:sz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7</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机电工程学院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szCs w:val="24"/>
                <w:lang w:val="en-US" w:eastAsia="zh-CN"/>
              </w:rPr>
              <w:t>3</w:t>
            </w:r>
          </w:p>
        </w:tc>
        <w:tc>
          <w:tcPr>
            <w:tcW w:w="2664"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c>
          <w:tcPr>
            <w:tcW w:w="1388"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8</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信息工程学院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szCs w:val="24"/>
                <w:lang w:val="en-US" w:eastAsia="zh-CN"/>
              </w:rPr>
              <w:t>3</w:t>
            </w:r>
          </w:p>
        </w:tc>
        <w:tc>
          <w:tcPr>
            <w:tcW w:w="2664"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c>
          <w:tcPr>
            <w:tcW w:w="1388"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9</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车辆工程学院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szCs w:val="24"/>
                <w:lang w:val="en-US" w:eastAsia="zh-CN"/>
              </w:rPr>
              <w:t>2</w:t>
            </w:r>
          </w:p>
        </w:tc>
        <w:tc>
          <w:tcPr>
            <w:tcW w:w="2664"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c>
          <w:tcPr>
            <w:tcW w:w="1388"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10</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艺术传媒学院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val="en-US" w:eastAsia="zh-CN"/>
              </w:rPr>
            </w:pPr>
            <w:r>
              <w:rPr>
                <w:rFonts w:hint="eastAsia" w:ascii="楷体" w:hAnsi="楷体" w:eastAsia="楷体" w:cs="楷体"/>
                <w:sz w:val="24"/>
                <w:lang w:val="en-US" w:eastAsia="zh-CN"/>
              </w:rPr>
              <w:t>1</w:t>
            </w:r>
          </w:p>
        </w:tc>
        <w:tc>
          <w:tcPr>
            <w:tcW w:w="2664"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c>
          <w:tcPr>
            <w:tcW w:w="1388"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11</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实验中心</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1</w:t>
            </w:r>
          </w:p>
        </w:tc>
        <w:tc>
          <w:tcPr>
            <w:tcW w:w="2664"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c>
          <w:tcPr>
            <w:tcW w:w="1388"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12</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经济管理学院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eastAsia="zh-CN"/>
              </w:rPr>
            </w:pPr>
            <w:r>
              <w:rPr>
                <w:rFonts w:hint="eastAsia" w:ascii="楷体" w:hAnsi="楷体" w:eastAsia="楷体" w:cs="楷体"/>
                <w:sz w:val="24"/>
                <w:lang w:val="en-US" w:eastAsia="zh-CN"/>
              </w:rPr>
              <w:t>3</w:t>
            </w:r>
          </w:p>
        </w:tc>
        <w:tc>
          <w:tcPr>
            <w:tcW w:w="2664" w:type="dxa"/>
            <w:vMerge w:val="restart"/>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文史财经类课程组</w:t>
            </w:r>
          </w:p>
        </w:tc>
        <w:tc>
          <w:tcPr>
            <w:tcW w:w="1388" w:type="dxa"/>
            <w:vMerge w:val="restart"/>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eastAsia="zh-CN"/>
              </w:rPr>
            </w:pPr>
            <w:r>
              <w:rPr>
                <w:rFonts w:hint="eastAsia" w:ascii="楷体" w:hAnsi="楷体" w:eastAsia="楷体" w:cs="楷体"/>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13</w:t>
            </w:r>
          </w:p>
        </w:tc>
        <w:tc>
          <w:tcPr>
            <w:tcW w:w="2285"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艺术传媒学院</w:t>
            </w:r>
          </w:p>
        </w:tc>
        <w:tc>
          <w:tcPr>
            <w:tcW w:w="1458" w:type="dxa"/>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eastAsia" w:ascii="楷体" w:hAnsi="楷体" w:eastAsia="楷体" w:cs="楷体"/>
                <w:sz w:val="24"/>
                <w:lang w:eastAsia="zh-CN"/>
              </w:rPr>
            </w:pPr>
            <w:r>
              <w:rPr>
                <w:rFonts w:hint="eastAsia" w:ascii="楷体" w:hAnsi="楷体" w:eastAsia="楷体" w:cs="楷体"/>
                <w:sz w:val="24"/>
                <w:lang w:val="en-US" w:eastAsia="zh-CN"/>
              </w:rPr>
              <w:t>1</w:t>
            </w:r>
          </w:p>
        </w:tc>
        <w:tc>
          <w:tcPr>
            <w:tcW w:w="2664"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c>
          <w:tcPr>
            <w:tcW w:w="1388" w:type="dxa"/>
            <w:vMerge w:val="continue"/>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8" w:type="dxa"/>
            <w:gridSpan w:val="2"/>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ascii="楷体" w:hAnsi="楷体" w:eastAsia="楷体" w:cs="楷体"/>
                <w:sz w:val="24"/>
              </w:rPr>
            </w:pPr>
            <w:r>
              <w:rPr>
                <w:rFonts w:hint="eastAsia" w:ascii="楷体" w:hAnsi="楷体" w:eastAsia="楷体" w:cs="楷体"/>
                <w:sz w:val="24"/>
              </w:rPr>
              <w:t>总计</w:t>
            </w:r>
          </w:p>
        </w:tc>
        <w:tc>
          <w:tcPr>
            <w:tcW w:w="5510" w:type="dxa"/>
            <w:gridSpan w:val="3"/>
            <w:shd w:val="clear" w:color="auto" w:fill="auto"/>
            <w:vAlign w:val="center"/>
          </w:tcPr>
          <w:p>
            <w:pPr>
              <w:keepNext w:val="0"/>
              <w:keepLines w:val="0"/>
              <w:pageBreakBefore w:val="0"/>
              <w:widowControl w:val="0"/>
              <w:kinsoku/>
              <w:wordWrap/>
              <w:topLinePunct w:val="0"/>
              <w:bidi w:val="0"/>
              <w:spacing w:line="440" w:lineRule="exact"/>
              <w:jc w:val="center"/>
              <w:textAlignment w:val="auto"/>
              <w:rPr>
                <w:rFonts w:hint="default" w:ascii="楷体" w:hAnsi="楷体" w:eastAsia="楷体" w:cs="楷体"/>
                <w:sz w:val="24"/>
                <w:lang w:val="en-US" w:eastAsia="zh-CN"/>
              </w:rPr>
            </w:pPr>
            <w:r>
              <w:rPr>
                <w:rFonts w:hint="eastAsia" w:ascii="楷体" w:hAnsi="楷体" w:eastAsia="楷体" w:cs="楷体"/>
                <w:sz w:val="24"/>
                <w:lang w:val="en-US" w:eastAsia="zh-CN"/>
              </w:rPr>
              <w:t>22</w:t>
            </w:r>
          </w:p>
        </w:tc>
      </w:tr>
    </w:tbl>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lang w:val="en-US" w:eastAsia="zh-CN"/>
        </w:rPr>
        <w:t>三</w:t>
      </w:r>
      <w:r>
        <w:rPr>
          <w:rFonts w:ascii="黑体" w:hAnsi="黑体" w:eastAsia="黑体" w:cs="Times New Roman"/>
          <w:color w:val="000000"/>
          <w:sz w:val="30"/>
          <w:szCs w:val="30"/>
          <w:lang w:val="en-US" w:eastAsia="zh-CN"/>
        </w:rPr>
        <w:t xml:space="preserve">、竞赛原则与内容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1.落实立德树人。坚持落实立德树人根本任务。根据技术技能人才培养要求，依据专业和课程特点，融入课程思政要求，贯彻现代职业教育先进理念，体现新技术、新规程、新工艺、新材料等的融入，优化教育教学方法，强化职业教育类型教育特色。在课堂教学中，发挥学生主体性，促进合作学习、探究学习，推动课堂教学更贴近学生实际，更符合学生的认知水平和认知规律，将知识传授、能力培养和价值塑造有机融为一体，激发学生认知、情感和行为的认同，提升课堂学习效果。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面向日常课堂。参赛课程应为人才培养方案中的课程，且近一年内在日常教学中正在实施的课程。课程内容须按教学计划进行，不得弄虚作假，以反映参赛课程的客观真实性。课程设计整体完整，结合职业教育类型定位，明确课程性质与任务、课程目标与要求、课程结构与内容、学生考核与评价、教学实施与保障、授课进程与安排等，体现课程的主要特色。加强集体教研、集体探究，共同切磋教学技艺；倡导行业企业技术人员对教学的深度参与，促进“双元”育人；强调理论与实践一体化教学，突出“做中学、做中教”。</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3.推动全员参与。面向全体教师，面向全部专业，促进全员提升。注重六个结合，即教学竞赛活动与创建品牌示范和特色专业相结合，与打造精品课程和教材建设相结合，与加强教学研究和培育教学成果相结合，与推进信息化教学和数字化教学资源建设相结合，与培养培训“双师型”教师和培育“双师型”教学团队相结合，与教师综合评价和评优评先相结合。立足职业教育类型定位，创新教学模式，突出育人功能，促进实现育人与育才相统一，充分体现“教书”与“育人”紧密融合，将知识技术的掌握与品德素养的提升紧密结合，提升学生学习效果，有效提升技术技能人才培养质量。</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4.坚持公平公正。实行政策、指标、标准、程序、结果“五公开”。以更加公开促进更加公平公正，以更加公平公正激励教师更好专业成长。</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严格按评选和推荐程序进行。竞赛标准参照《2023年郑州电力职业技术学院课堂教学创新大赛试行标准》，见附件 2-3。</w:t>
      </w:r>
    </w:p>
    <w:p>
      <w:pPr>
        <w:keepNext w:val="0"/>
        <w:keepLines w:val="0"/>
        <w:pageBreakBefore w:val="0"/>
        <w:widowControl w:val="0"/>
        <w:kinsoku/>
        <w:wordWrap/>
        <w:overflowPunct w:val="0"/>
        <w:topLinePunct w:val="0"/>
        <w:bidi w:val="0"/>
        <w:spacing w:line="440" w:lineRule="exact"/>
        <w:ind w:firstLine="600" w:firstLineChars="200"/>
        <w:textAlignment w:val="auto"/>
        <w:outlineLvl w:val="0"/>
        <w:rPr>
          <w:rFonts w:ascii="黑体" w:hAnsi="黑体" w:eastAsia="黑体" w:cs="Times New Roman"/>
          <w:color w:val="000000"/>
          <w:sz w:val="30"/>
          <w:szCs w:val="30"/>
        </w:rPr>
      </w:pPr>
      <w:r>
        <w:rPr>
          <w:rFonts w:hint="eastAsia" w:ascii="黑体" w:hAnsi="黑体" w:eastAsia="黑体" w:cs="Times New Roman"/>
          <w:color w:val="000000"/>
          <w:sz w:val="30"/>
          <w:szCs w:val="30"/>
        </w:rPr>
        <w:t>四、比赛程序</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采取先教学单位初赛后组织校级决赛的方式进行。2023年6月1日前完成作品教学单位初评，2023年6月20日前完成校级决赛。</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一）教学单位初赛。各教学部门成立评审专家组，首先对参赛作品材料进行资格审查、初赛。各教学单位要对参赛教师提交的文本材料进行认真审核，严把政治关，确保正确政治方向。初赛时要深入日常真实课堂对教师申报的课程进行全面评教，充分体现对日常真实课堂的促进与推动作用。初赛人数必须大于推荐人数。</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（二）校级决赛。</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1.教学文件审核</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对参赛专业的人才培养方案、参赛课程的课程标准、课程教学实施方案、不同章节的4个学时的教案等教学文件进行审核。由教学单位教学竞赛负责人组织进行。</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2.视频初评</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教务科研处组织对参赛的课堂视频进行集中评选。</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各教学单位推荐参加省赛的教师，均须提供该节课（1个学时）完整的教学实录视频。相关要求为：</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①</w:t>
      </w:r>
      <w:r>
        <w:rPr>
          <w:rFonts w:hint="eastAsia" w:ascii="仿宋" w:hAnsi="仿宋" w:eastAsia="仿宋" w:cs="仿宋"/>
          <w:color w:val="auto"/>
          <w:kern w:val="2"/>
          <w:sz w:val="30"/>
          <w:szCs w:val="30"/>
          <w:lang w:val="en-US" w:eastAsia="zh-CN" w:bidi="ar-SA"/>
        </w:rPr>
        <w:t>视频技术要求。课堂教学过程实录要真实、完整地记录参赛教师所讲课的课堂教学活动过程。课堂教学应在实际教学场所、班级全体学生参加拍摄（镜头移动能看到全班学生），时长40～45分钟。</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视频均须采用单机方式全程连续录制（不得使用摇臂、无人机、虚拟演播系统、临时拼接大型 LED 显示屏等脱离建班育人实际、片面追求拍摄效果、费用昂贵的录制手段），不允许另行剪辑及配音，不加片头片尾、字幕注解，不得泄露地区、学校、个人信息等。采用 MP4 格式封装，视频录制现场需要固定张贴（或书写、屏幕显示）录制日期在视频录制始终可见位置。</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②</w:t>
      </w:r>
      <w:r>
        <w:rPr>
          <w:rFonts w:hint="eastAsia" w:ascii="仿宋" w:hAnsi="仿宋" w:eastAsia="仿宋" w:cs="仿宋"/>
          <w:color w:val="auto"/>
          <w:kern w:val="2"/>
          <w:sz w:val="30"/>
          <w:szCs w:val="30"/>
          <w:lang w:val="en-US" w:eastAsia="zh-CN" w:bidi="ar-SA"/>
        </w:rPr>
        <w:t>视频录制时间。教学实录需在规定时间内按照教学进度进行录制，不得提前录制。</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③</w:t>
      </w:r>
      <w:r>
        <w:rPr>
          <w:rFonts w:hint="eastAsia" w:ascii="仿宋" w:hAnsi="仿宋" w:eastAsia="仿宋" w:cs="仿宋"/>
          <w:color w:val="auto"/>
          <w:kern w:val="2"/>
          <w:sz w:val="30"/>
          <w:szCs w:val="30"/>
          <w:lang w:val="en-US" w:eastAsia="zh-CN" w:bidi="ar-SA"/>
        </w:rPr>
        <w:t>视频版权。视频版权归学校所有，主要用于教法推广及评审，不得参与商业行为。</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3.现场竞赛</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教学文件审核、视频初评结果符合要求的，全部进入现场竞赛。现场竞赛包括说课程、无学生教学展示、现场答辩。</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①</w:t>
      </w:r>
      <w:r>
        <w:rPr>
          <w:rFonts w:hint="eastAsia" w:ascii="仿宋" w:hAnsi="仿宋" w:eastAsia="仿宋" w:cs="仿宋"/>
          <w:color w:val="auto"/>
          <w:kern w:val="2"/>
          <w:sz w:val="30"/>
          <w:szCs w:val="30"/>
          <w:lang w:val="en-US" w:eastAsia="zh-CN" w:bidi="ar-SA"/>
        </w:rPr>
        <w:t>说课程。参赛教师进行5分钟说课程，阐明参赛课程的设计思路与实施路径，着重说明在教学组织过程中如何实现课程教学目标，达成课程育人目标。</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②</w:t>
      </w:r>
      <w:r>
        <w:rPr>
          <w:rFonts w:hint="eastAsia" w:ascii="仿宋" w:hAnsi="仿宋" w:eastAsia="仿宋" w:cs="仿宋"/>
          <w:color w:val="auto"/>
          <w:kern w:val="2"/>
          <w:sz w:val="30"/>
          <w:szCs w:val="30"/>
          <w:lang w:val="en-US" w:eastAsia="zh-CN" w:bidi="ar-SA"/>
        </w:rPr>
        <w:t>无学生教学展示。现场从参赛教师已提交的4节课中抽签确定本人参赛的具体教学节段，进行10分钟的现场教学。</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③</w:t>
      </w:r>
      <w:r>
        <w:rPr>
          <w:rFonts w:hint="eastAsia" w:ascii="仿宋" w:hAnsi="仿宋" w:eastAsia="仿宋" w:cs="仿宋"/>
          <w:color w:val="auto"/>
          <w:kern w:val="2"/>
          <w:sz w:val="30"/>
          <w:szCs w:val="30"/>
          <w:lang w:val="en-US" w:eastAsia="zh-CN" w:bidi="ar-SA"/>
        </w:rPr>
        <w:t>现场答辩。评委根据参赛教师表现及相关教学要求等进行提问，参赛教师即时解答，时间约为5分钟。</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fldChar w:fldCharType="begin"/>
      </w:r>
      <w:r>
        <w:rPr>
          <w:rFonts w:hint="eastAsia" w:ascii="仿宋" w:hAnsi="仿宋" w:eastAsia="仿宋" w:cs="仿宋"/>
          <w:color w:val="auto"/>
          <w:kern w:val="2"/>
          <w:sz w:val="30"/>
          <w:szCs w:val="30"/>
          <w:lang w:val="en-US" w:eastAsia="zh-CN" w:bidi="ar-SA"/>
        </w:rPr>
        <w:instrText xml:space="preserve"> = 4 \* GB3 \* MERGEFORMAT </w:instrText>
      </w:r>
      <w:r>
        <w:rPr>
          <w:rFonts w:hint="eastAsia" w:ascii="仿宋" w:hAnsi="仿宋" w:eastAsia="仿宋" w:cs="仿宋"/>
          <w:color w:val="auto"/>
          <w:kern w:val="2"/>
          <w:sz w:val="30"/>
          <w:szCs w:val="30"/>
          <w:lang w:val="en-US" w:eastAsia="zh-CN" w:bidi="ar-SA"/>
        </w:rPr>
        <w:fldChar w:fldCharType="separate"/>
      </w:r>
      <w:r>
        <w:rPr>
          <w:rFonts w:hint="eastAsia" w:ascii="仿宋" w:hAnsi="仿宋" w:eastAsia="仿宋" w:cs="仿宋"/>
          <w:color w:val="auto"/>
          <w:kern w:val="2"/>
          <w:sz w:val="30"/>
          <w:szCs w:val="30"/>
          <w:lang w:val="en-US" w:eastAsia="zh-CN" w:bidi="ar-SA"/>
        </w:rPr>
        <w:t>④</w:t>
      </w:r>
      <w:r>
        <w:rPr>
          <w:rFonts w:hint="eastAsia" w:ascii="仿宋" w:hAnsi="仿宋" w:eastAsia="仿宋" w:cs="仿宋"/>
          <w:color w:val="auto"/>
          <w:kern w:val="2"/>
          <w:sz w:val="30"/>
          <w:szCs w:val="30"/>
          <w:lang w:val="en-US" w:eastAsia="zh-CN" w:bidi="ar-SA"/>
        </w:rPr>
        <w:fldChar w:fldCharType="end"/>
      </w:r>
      <w:r>
        <w:rPr>
          <w:rFonts w:hint="eastAsia" w:ascii="仿宋" w:hAnsi="仿宋" w:eastAsia="仿宋" w:cs="仿宋"/>
          <w:color w:val="auto"/>
          <w:kern w:val="2"/>
          <w:sz w:val="30"/>
          <w:szCs w:val="30"/>
          <w:lang w:val="en-US" w:eastAsia="zh-CN" w:bidi="ar-SA"/>
        </w:rPr>
        <w:t>综合评定</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按照教学文件审核成绩占10%、视频初评成绩占50%、现场竞赛成绩占40%，进行成绩综合评定，确定拟获奖名单并进行公示。</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五、报送材料要求</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（一）报送材料</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1.《郑州电力职业技术学院课堂教学创新大赛参赛教师信息表》（见附件 2-1）一式三份。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2.参赛专业的人才培养方案一式一份。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3.参赛课程完整的课程标准一式一份。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4.参赛课程的教学实施方案一式三份。阐述在本门课程的教学策略、教学实施、教学成效等。正文字数不超过3000字。插入的图表应有针对性、有效性，尺寸合适、清晰，不超过10张。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5.参赛课程的部分章节教案一式三份。以1个学时为基本单位，提交参赛课程不同章节的4个学时的教案（须有目录）。每个教案正文字数不超过3000字。每件参赛项目的全部教案应按课程的章节先后顺序逐一标明序号，合并为一个文件提交。 </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6.视频文件，用U盘报送（文件命名：学院+组别+姓名）。</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7.学院（部、中心）竞赛实施方案和竞赛情况报告；</w:t>
      </w:r>
    </w:p>
    <w:p>
      <w:pPr>
        <w:keepNext w:val="0"/>
        <w:keepLines w:val="0"/>
        <w:pageBreakBefore w:val="0"/>
        <w:widowControl w:val="0"/>
        <w:suppressLineNumbers w:val="0"/>
        <w:kinsoku/>
        <w:wordWrap/>
        <w:overflowPunct/>
        <w:topLinePunct w:val="0"/>
        <w:autoSpaceDE/>
        <w:autoSpaceDN/>
        <w:bidi w:val="0"/>
        <w:adjustRightInd w:val="0"/>
        <w:snapToGrid w:val="0"/>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8.《郑州电力职业技术学院课堂教学创新大赛参赛人员推荐汇总表》一式一份。</w:t>
      </w:r>
    </w:p>
    <w:p>
      <w:pPr>
        <w:keepNext w:val="0"/>
        <w:keepLines w:val="0"/>
        <w:pageBreakBefore w:val="0"/>
        <w:widowControl w:val="0"/>
        <w:suppressLineNumbers w:val="0"/>
        <w:kinsoku/>
        <w:wordWrap/>
        <w:overflowPunct/>
        <w:topLinePunct w:val="0"/>
        <w:autoSpaceDE/>
        <w:autoSpaceDN/>
        <w:bidi w:val="0"/>
        <w:adjustRightInd w:val="0"/>
        <w:snapToGrid w:val="0"/>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（二）其他事项</w:t>
      </w:r>
    </w:p>
    <w:p>
      <w:pPr>
        <w:keepNext w:val="0"/>
        <w:keepLines w:val="0"/>
        <w:pageBreakBefore w:val="0"/>
        <w:widowControl w:val="0"/>
        <w:suppressLineNumbers w:val="0"/>
        <w:kinsoku/>
        <w:wordWrap/>
        <w:overflowPunct/>
        <w:topLinePunct w:val="0"/>
        <w:autoSpaceDE/>
        <w:autoSpaceDN/>
        <w:bidi w:val="0"/>
        <w:adjustRightInd w:val="0"/>
        <w:snapToGrid w:val="0"/>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1.参赛课程内容及相关材料价值导向正确，参赛项目是参赛者本人的教学成果，不得抄袭他人参赛项目。</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2.参赛材料请上传到指定邮箱。未按要求上传提交参赛材料的学校，视同放弃参加竞赛。</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3.除参赛教师推荐表外，参赛教师上传提交的其他所有材料中，均不得以任何形式泄露参赛教师个人信息及所在单位的信息，否则取消参赛资格。</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各</w:t>
      </w:r>
      <w:r>
        <w:rPr>
          <w:rFonts w:hint="eastAsia" w:ascii="仿宋" w:hAnsi="仿宋" w:eastAsia="仿宋" w:cs="仿宋"/>
          <w:color w:val="auto"/>
          <w:kern w:val="2"/>
          <w:sz w:val="30"/>
          <w:szCs w:val="30"/>
          <w:lang w:val="en-US" w:eastAsia="zh-CN" w:bidi="ar-SA"/>
        </w:rPr>
        <w:t>学院</w:t>
      </w:r>
      <w:r>
        <w:rPr>
          <w:rFonts w:hint="default" w:ascii="仿宋" w:hAnsi="仿宋" w:eastAsia="仿宋" w:cs="仿宋"/>
          <w:color w:val="auto"/>
          <w:kern w:val="2"/>
          <w:sz w:val="30"/>
          <w:szCs w:val="30"/>
          <w:lang w:val="en-US" w:eastAsia="zh-CN" w:bidi="ar-SA"/>
        </w:rPr>
        <w:t>（部、中心）</w:t>
      </w:r>
      <w:r>
        <w:rPr>
          <w:rFonts w:hint="eastAsia" w:ascii="仿宋" w:hAnsi="仿宋" w:eastAsia="仿宋" w:cs="仿宋"/>
          <w:color w:val="auto"/>
          <w:kern w:val="2"/>
          <w:sz w:val="30"/>
          <w:szCs w:val="30"/>
          <w:lang w:val="en-US" w:eastAsia="zh-CN" w:bidi="ar-SA"/>
        </w:rPr>
        <w:t>暂定</w:t>
      </w:r>
      <w:r>
        <w:rPr>
          <w:rFonts w:hint="default" w:ascii="仿宋" w:hAnsi="仿宋" w:eastAsia="仿宋" w:cs="仿宋"/>
          <w:color w:val="auto"/>
          <w:kern w:val="2"/>
          <w:sz w:val="30"/>
          <w:szCs w:val="30"/>
          <w:lang w:val="en-US" w:eastAsia="zh-CN" w:bidi="ar-SA"/>
        </w:rPr>
        <w:t>于</w:t>
      </w:r>
      <w:r>
        <w:rPr>
          <w:rFonts w:hint="eastAsia" w:ascii="仿宋" w:hAnsi="仿宋" w:eastAsia="仿宋" w:cs="仿宋"/>
          <w:color w:val="auto"/>
          <w:kern w:val="2"/>
          <w:sz w:val="30"/>
          <w:szCs w:val="30"/>
          <w:lang w:val="en-US" w:eastAsia="zh-CN" w:bidi="ar-SA"/>
        </w:rPr>
        <w:t>6</w:t>
      </w:r>
      <w:r>
        <w:rPr>
          <w:rFonts w:hint="default" w:ascii="仿宋" w:hAnsi="仿宋" w:eastAsia="仿宋" w:cs="仿宋"/>
          <w:color w:val="auto"/>
          <w:kern w:val="2"/>
          <w:sz w:val="30"/>
          <w:szCs w:val="30"/>
          <w:lang w:val="en-US" w:eastAsia="zh-CN" w:bidi="ar-SA"/>
        </w:rPr>
        <w:t>月</w:t>
      </w:r>
      <w:r>
        <w:rPr>
          <w:rFonts w:hint="eastAsia" w:ascii="仿宋" w:hAnsi="仿宋" w:eastAsia="仿宋" w:cs="仿宋"/>
          <w:color w:val="auto"/>
          <w:kern w:val="2"/>
          <w:sz w:val="30"/>
          <w:szCs w:val="30"/>
          <w:lang w:val="en-US" w:eastAsia="zh-CN" w:bidi="ar-SA"/>
        </w:rPr>
        <w:t>15</w:t>
      </w:r>
      <w:r>
        <w:rPr>
          <w:rFonts w:hint="default" w:ascii="仿宋" w:hAnsi="仿宋" w:eastAsia="仿宋" w:cs="仿宋"/>
          <w:color w:val="auto"/>
          <w:kern w:val="2"/>
          <w:sz w:val="30"/>
          <w:szCs w:val="30"/>
          <w:lang w:val="en-US" w:eastAsia="zh-CN" w:bidi="ar-SA"/>
        </w:rPr>
        <w:t>日前将</w:t>
      </w:r>
      <w:r>
        <w:rPr>
          <w:rFonts w:hint="eastAsia" w:ascii="仿宋" w:hAnsi="仿宋" w:eastAsia="仿宋" w:cs="仿宋"/>
          <w:color w:val="auto"/>
          <w:kern w:val="2"/>
          <w:sz w:val="30"/>
          <w:szCs w:val="30"/>
          <w:lang w:val="en-US" w:eastAsia="zh-CN" w:bidi="ar-SA"/>
        </w:rPr>
        <w:t>参加决赛的名单及</w:t>
      </w:r>
      <w:r>
        <w:rPr>
          <w:rFonts w:hint="default" w:ascii="仿宋" w:hAnsi="仿宋" w:eastAsia="仿宋" w:cs="仿宋"/>
          <w:color w:val="auto"/>
          <w:kern w:val="2"/>
          <w:sz w:val="30"/>
          <w:szCs w:val="30"/>
          <w:lang w:val="en-US" w:eastAsia="zh-CN" w:bidi="ar-SA"/>
        </w:rPr>
        <w:t>上述所有材料的电子版和纸质版报送至教务</w:t>
      </w:r>
      <w:r>
        <w:rPr>
          <w:rFonts w:hint="eastAsia" w:ascii="仿宋" w:hAnsi="仿宋" w:eastAsia="仿宋" w:cs="仿宋"/>
          <w:color w:val="auto"/>
          <w:kern w:val="2"/>
          <w:sz w:val="30"/>
          <w:szCs w:val="30"/>
          <w:lang w:val="en-US" w:eastAsia="zh-CN" w:bidi="ar-SA"/>
        </w:rPr>
        <w:t>科研</w:t>
      </w:r>
      <w:r>
        <w:rPr>
          <w:rFonts w:hint="default" w:ascii="仿宋" w:hAnsi="仿宋" w:eastAsia="仿宋" w:cs="仿宋"/>
          <w:color w:val="auto"/>
          <w:kern w:val="2"/>
          <w:sz w:val="30"/>
          <w:szCs w:val="30"/>
          <w:lang w:val="en-US" w:eastAsia="zh-CN" w:bidi="ar-SA"/>
        </w:rPr>
        <w:t>处一办。</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联系人：</w:t>
      </w:r>
      <w:r>
        <w:rPr>
          <w:rFonts w:hint="eastAsia" w:ascii="仿宋" w:hAnsi="仿宋" w:eastAsia="仿宋" w:cs="仿宋"/>
          <w:color w:val="auto"/>
          <w:kern w:val="2"/>
          <w:sz w:val="30"/>
          <w:szCs w:val="30"/>
          <w:lang w:val="en-US" w:eastAsia="zh-CN" w:bidi="ar-SA"/>
        </w:rPr>
        <w:t>杨春暖</w:t>
      </w:r>
      <w:r>
        <w:rPr>
          <w:rFonts w:hint="default" w:ascii="仿宋" w:hAnsi="仿宋" w:eastAsia="仿宋" w:cs="仿宋"/>
          <w:color w:val="auto"/>
          <w:kern w:val="2"/>
          <w:sz w:val="30"/>
          <w:szCs w:val="30"/>
          <w:lang w:val="en-US" w:eastAsia="zh-CN" w:bidi="ar-SA"/>
        </w:rPr>
        <w:t>；联系电话：62111329。</w:t>
      </w:r>
    </w:p>
    <w:p>
      <w:pPr>
        <w:keepNext w:val="0"/>
        <w:keepLines w:val="0"/>
        <w:pageBreakBefore w:val="0"/>
        <w:widowControl w:val="0"/>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邮</w:t>
      </w:r>
      <w:r>
        <w:rPr>
          <w:rFonts w:hint="eastAsia" w:ascii="仿宋" w:hAnsi="仿宋" w:eastAsia="仿宋" w:cs="仿宋"/>
          <w:color w:val="auto"/>
          <w:kern w:val="2"/>
          <w:sz w:val="30"/>
          <w:szCs w:val="30"/>
          <w:lang w:val="en-US" w:eastAsia="zh-CN" w:bidi="ar-SA"/>
        </w:rPr>
        <w:t xml:space="preserve">  </w:t>
      </w:r>
      <w:r>
        <w:rPr>
          <w:rFonts w:hint="default" w:ascii="仿宋" w:hAnsi="仿宋" w:eastAsia="仿宋" w:cs="仿宋"/>
          <w:color w:val="auto"/>
          <w:kern w:val="2"/>
          <w:sz w:val="30"/>
          <w:szCs w:val="30"/>
          <w:lang w:val="en-US" w:eastAsia="zh-CN" w:bidi="ar-SA"/>
        </w:rPr>
        <w:t>箱：1638639850@qq.com。</w:t>
      </w:r>
    </w:p>
    <w:p>
      <w:pPr>
        <w:keepNext w:val="0"/>
        <w:keepLines w:val="0"/>
        <w:pageBreakBefore w:val="0"/>
        <w:widowControl w:val="0"/>
        <w:kinsoku/>
        <w:wordWrap/>
        <w:topLinePunct w:val="0"/>
        <w:bidi w:val="0"/>
        <w:spacing w:line="440" w:lineRule="exac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‍附件：</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2-1.《郑州电力职业技术学院课堂教学创新大赛参赛教师推荐表》</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2-2.《郑州电力职业技术学院课堂教学创新大赛推荐汇总表（电子文档 Excel 报送）</w:t>
      </w:r>
    </w:p>
    <w:p>
      <w:pPr>
        <w:keepNext w:val="0"/>
        <w:keepLines w:val="0"/>
        <w:pageBreakBefore w:val="0"/>
        <w:widowControl w:val="0"/>
        <w:kinsoku/>
        <w:wordWrap/>
        <w:topLinePunct w:val="0"/>
        <w:bidi w:val="0"/>
        <w:spacing w:line="440" w:lineRule="exact"/>
        <w:ind w:firstLine="560" w:firstLineChars="200"/>
        <w:textAlignment w:val="auto"/>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2-3.《郑州电力职业技术学院课堂教学大赛现场竞赛评判标准》</w:t>
      </w:r>
    </w:p>
    <w:p>
      <w:pPr>
        <w:pStyle w:val="2"/>
        <w:keepNext w:val="0"/>
        <w:keepLines w:val="0"/>
        <w:pageBreakBefore w:val="0"/>
        <w:widowControl w:val="0"/>
        <w:kinsoku/>
        <w:wordWrap/>
        <w:topLinePunct w:val="0"/>
        <w:bidi w:val="0"/>
        <w:spacing w:line="440" w:lineRule="exact"/>
        <w:jc w:val="right"/>
        <w:textAlignment w:val="auto"/>
        <w:rPr>
          <w:rFonts w:hint="eastAsia" w:ascii="仿宋" w:hAnsi="仿宋" w:eastAsia="仿宋" w:cs="仿宋"/>
          <w:color w:val="auto"/>
          <w:kern w:val="2"/>
          <w:sz w:val="28"/>
          <w:szCs w:val="28"/>
        </w:rPr>
      </w:pP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jc w:val="right"/>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郑州电力职业技术学院</w:t>
      </w:r>
    </w:p>
    <w:p>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right"/>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13</w:t>
      </w:r>
      <w:r>
        <w:rPr>
          <w:rFonts w:hint="eastAsia" w:ascii="仿宋" w:hAnsi="仿宋" w:eastAsia="仿宋" w:cs="仿宋"/>
          <w:color w:val="auto"/>
          <w:kern w:val="2"/>
          <w:sz w:val="28"/>
          <w:szCs w:val="28"/>
        </w:rPr>
        <w:t>日</w:t>
      </w:r>
    </w:p>
    <w:p>
      <w:pPr>
        <w:keepNext w:val="0"/>
        <w:keepLines w:val="0"/>
        <w:pageBreakBefore w:val="0"/>
        <w:widowControl w:val="0"/>
        <w:kinsoku/>
        <w:wordWrap/>
        <w:topLinePunct w:val="0"/>
        <w:bidi w:val="0"/>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br w:type="page"/>
      </w:r>
    </w:p>
    <w:p>
      <w:pPr>
        <w:keepNext w:val="0"/>
        <w:keepLines w:val="0"/>
        <w:pageBreakBefore w:val="0"/>
        <w:widowControl w:val="0"/>
        <w:kinsoku/>
        <w:wordWrap/>
        <w:topLinePunct w:val="0"/>
        <w:bidi w:val="0"/>
        <w:rPr>
          <w:rFonts w:hint="eastAsia" w:ascii="黑体" w:hAnsi="黑体" w:eastAsia="黑体"/>
          <w:color w:val="000000"/>
          <w:sz w:val="32"/>
          <w:szCs w:val="32"/>
        </w:rPr>
      </w:pPr>
      <w:r>
        <w:rPr>
          <w:rFonts w:hint="eastAsia" w:ascii="黑体" w:hAnsi="黑体" w:eastAsia="黑体"/>
          <w:color w:val="000000"/>
          <w:sz w:val="32"/>
          <w:szCs w:val="32"/>
        </w:rPr>
        <w:t>附件2-1</w:t>
      </w:r>
    </w:p>
    <w:p>
      <w:pPr>
        <w:keepNext w:val="0"/>
        <w:keepLines w:val="0"/>
        <w:pageBreakBefore w:val="0"/>
        <w:widowControl w:val="0"/>
        <w:kinsoku/>
        <w:wordWrap/>
        <w:topLinePunct w:val="0"/>
        <w:bidi w:val="0"/>
        <w:snapToGrid w:val="0"/>
        <w:rPr>
          <w:rFonts w:hint="eastAsia" w:ascii="黑体" w:hAnsi="黑体" w:eastAsia="黑体"/>
          <w:color w:val="000000"/>
          <w:sz w:val="28"/>
          <w:szCs w:val="28"/>
        </w:rPr>
      </w:pPr>
    </w:p>
    <w:p>
      <w:pPr>
        <w:keepNext w:val="0"/>
        <w:keepLines w:val="0"/>
        <w:pageBreakBefore w:val="0"/>
        <w:widowControl w:val="0"/>
        <w:kinsoku/>
        <w:wordWrap/>
        <w:overflowPunct w:val="0"/>
        <w:topLinePunct w:val="0"/>
        <w:bidi w:val="0"/>
        <w:snapToGrid w:val="0"/>
        <w:spacing w:line="440" w:lineRule="exact"/>
        <w:jc w:val="center"/>
        <w:textAlignment w:val="auto"/>
        <w:rPr>
          <w:rFonts w:hint="eastAsia" w:ascii="方正小标宋简体" w:hAnsi="宋体" w:eastAsia="方正小标宋简体" w:cs="黑体"/>
          <w:sz w:val="44"/>
          <w:szCs w:val="28"/>
        </w:rPr>
      </w:pPr>
      <w:r>
        <w:rPr>
          <w:rFonts w:hint="eastAsia" w:ascii="方正小标宋简体" w:hAnsi="宋体" w:eastAsia="方正小标宋简体" w:cs="黑体"/>
          <w:sz w:val="44"/>
          <w:szCs w:val="28"/>
          <w:lang w:eastAsia="zh-CN"/>
        </w:rPr>
        <w:t>郑州电力职业技术学院</w:t>
      </w:r>
      <w:r>
        <w:rPr>
          <w:rFonts w:hint="eastAsia" w:ascii="方正小标宋简体" w:hAnsi="宋体" w:eastAsia="方正小标宋简体" w:cs="黑体"/>
          <w:sz w:val="44"/>
          <w:szCs w:val="28"/>
        </w:rPr>
        <w:t>课堂教学创新大赛</w:t>
      </w:r>
    </w:p>
    <w:p>
      <w:pPr>
        <w:keepNext w:val="0"/>
        <w:keepLines w:val="0"/>
        <w:pageBreakBefore w:val="0"/>
        <w:widowControl w:val="0"/>
        <w:kinsoku/>
        <w:wordWrap/>
        <w:overflowPunct w:val="0"/>
        <w:topLinePunct w:val="0"/>
        <w:bidi w:val="0"/>
        <w:snapToGrid w:val="0"/>
        <w:spacing w:line="440" w:lineRule="exact"/>
        <w:jc w:val="center"/>
        <w:textAlignment w:val="auto"/>
        <w:rPr>
          <w:rFonts w:hint="eastAsia" w:ascii="方正小标宋简体" w:hAnsi="宋体" w:eastAsia="方正小标宋简体" w:cs="黑体"/>
          <w:sz w:val="44"/>
          <w:szCs w:val="28"/>
        </w:rPr>
      </w:pPr>
      <w:r>
        <w:rPr>
          <w:rFonts w:hint="eastAsia" w:ascii="方正小标宋简体" w:hAnsi="宋体" w:eastAsia="方正小标宋简体" w:cs="黑体"/>
          <w:sz w:val="44"/>
          <w:szCs w:val="28"/>
        </w:rPr>
        <w:t>参赛教师信息表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575"/>
        <w:gridCol w:w="1536"/>
        <w:gridCol w:w="1105"/>
        <w:gridCol w:w="1087"/>
        <w:gridCol w:w="594"/>
        <w:gridCol w:w="58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2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adjustRightInd w:val="0"/>
              <w:snapToGrid w:val="0"/>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基</w:t>
            </w:r>
          </w:p>
          <w:p>
            <w:pPr>
              <w:keepNext w:val="0"/>
              <w:keepLines w:val="0"/>
              <w:pageBreakBefore w:val="0"/>
              <w:widowControl w:val="0"/>
              <w:kinsoku/>
              <w:wordWrap/>
              <w:topLinePunct w:val="0"/>
              <w:bidi w:val="0"/>
              <w:adjustRightInd w:val="0"/>
              <w:snapToGrid w:val="0"/>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本</w:t>
            </w:r>
          </w:p>
          <w:p>
            <w:pPr>
              <w:keepNext w:val="0"/>
              <w:keepLines w:val="0"/>
              <w:pageBreakBefore w:val="0"/>
              <w:widowControl w:val="0"/>
              <w:kinsoku/>
              <w:wordWrap/>
              <w:topLinePunct w:val="0"/>
              <w:bidi w:val="0"/>
              <w:adjustRightInd w:val="0"/>
              <w:snapToGrid w:val="0"/>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信</w:t>
            </w:r>
          </w:p>
          <w:p>
            <w:pPr>
              <w:keepNext w:val="0"/>
              <w:keepLines w:val="0"/>
              <w:pageBreakBefore w:val="0"/>
              <w:widowControl w:val="0"/>
              <w:kinsoku/>
              <w:wordWrap/>
              <w:topLinePunct w:val="0"/>
              <w:bidi w:val="0"/>
              <w:adjustRightInd w:val="0"/>
              <w:snapToGrid w:val="0"/>
              <w:jc w:val="center"/>
              <w:rPr>
                <w:rFonts w:hint="eastAsia" w:ascii="仿宋" w:hAnsi="仿宋" w:eastAsia="仿宋" w:cs="仿宋"/>
                <w:b/>
                <w:color w:val="000000"/>
                <w:spacing w:val="-12"/>
                <w:kern w:val="0"/>
                <w:sz w:val="24"/>
                <w:szCs w:val="24"/>
              </w:rPr>
            </w:pPr>
            <w:r>
              <w:rPr>
                <w:rFonts w:hint="eastAsia" w:ascii="仿宋" w:hAnsi="仿宋" w:eastAsia="仿宋" w:cs="仿宋"/>
                <w:color w:val="000000"/>
                <w:spacing w:val="-12"/>
                <w:kern w:val="0"/>
                <w:sz w:val="24"/>
                <w:szCs w:val="24"/>
              </w:rPr>
              <w:t>息</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姓名</w:t>
            </w:r>
          </w:p>
        </w:tc>
        <w:tc>
          <w:tcPr>
            <w:tcW w:w="15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性别</w:t>
            </w:r>
          </w:p>
        </w:tc>
        <w:tc>
          <w:tcPr>
            <w:tcW w:w="16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651"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本人照片</w:t>
            </w:r>
          </w:p>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出生年月</w:t>
            </w:r>
          </w:p>
        </w:tc>
        <w:tc>
          <w:tcPr>
            <w:tcW w:w="15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政治面貌</w:t>
            </w:r>
          </w:p>
        </w:tc>
        <w:tc>
          <w:tcPr>
            <w:tcW w:w="16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651"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320" w:lineRule="exact"/>
              <w:jc w:val="left"/>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民族</w:t>
            </w:r>
          </w:p>
        </w:tc>
        <w:tc>
          <w:tcPr>
            <w:tcW w:w="15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职称</w:t>
            </w:r>
          </w:p>
        </w:tc>
        <w:tc>
          <w:tcPr>
            <w:tcW w:w="168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651"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320" w:lineRule="exact"/>
              <w:jc w:val="left"/>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学历</w:t>
            </w:r>
          </w:p>
        </w:tc>
        <w:tc>
          <w:tcPr>
            <w:tcW w:w="15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学位</w:t>
            </w:r>
          </w:p>
        </w:tc>
        <w:tc>
          <w:tcPr>
            <w:tcW w:w="10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p>
        </w:tc>
        <w:tc>
          <w:tcPr>
            <w:tcW w:w="11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学校教龄</w:t>
            </w:r>
          </w:p>
        </w:tc>
        <w:tc>
          <w:tcPr>
            <w:tcW w:w="10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身份证号</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所在院系</w:t>
            </w:r>
          </w:p>
        </w:tc>
        <w:tc>
          <w:tcPr>
            <w:tcW w:w="15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c>
          <w:tcPr>
            <w:tcW w:w="11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专业</w:t>
            </w:r>
          </w:p>
        </w:tc>
        <w:tc>
          <w:tcPr>
            <w:tcW w:w="333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联系方式</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手机号：</w:t>
            </w:r>
          </w:p>
          <w:p>
            <w:pPr>
              <w:keepNext w:val="0"/>
              <w:keepLines w:val="0"/>
              <w:pageBreakBefore w:val="0"/>
              <w:widowControl w:val="0"/>
              <w:kinsoku/>
              <w:wordWrap/>
              <w:topLinePunct w:val="0"/>
              <w:bidi w:val="0"/>
              <w:snapToGrid w:val="0"/>
              <w:spacing w:line="320" w:lineRule="exact"/>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参赛课程</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参赛章节1</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参赛章节2</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参赛章节3</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b/>
                <w:bCs/>
                <w:color w:val="000000"/>
                <w:spacing w:val="-12"/>
                <w:kern w:val="0"/>
                <w:sz w:val="24"/>
                <w:szCs w:val="24"/>
              </w:rPr>
            </w:pPr>
            <w:r>
              <w:rPr>
                <w:rFonts w:hint="eastAsia" w:ascii="仿宋" w:hAnsi="仿宋" w:eastAsia="仿宋" w:cs="仿宋"/>
                <w:color w:val="000000"/>
                <w:spacing w:val="-12"/>
                <w:kern w:val="0"/>
                <w:sz w:val="24"/>
                <w:szCs w:val="24"/>
              </w:rPr>
              <w:t>参赛章节4</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jc w:val="left"/>
              <w:rPr>
                <w:rFonts w:hint="eastAsia" w:ascii="仿宋" w:hAnsi="仿宋" w:eastAsia="仿宋" w:cs="仿宋"/>
                <w:b/>
                <w:color w:val="000000"/>
                <w:spacing w:val="-12"/>
                <w:kern w:val="0"/>
                <w:sz w:val="24"/>
                <w:szCs w:val="24"/>
              </w:rPr>
            </w:pP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参赛组别</w:t>
            </w:r>
          </w:p>
        </w:tc>
        <w:tc>
          <w:tcPr>
            <w:tcW w:w="597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spacing w:line="320" w:lineRule="exact"/>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1"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近2年</w:t>
            </w:r>
          </w:p>
          <w:p>
            <w:pPr>
              <w:keepNext w:val="0"/>
              <w:keepLines w:val="0"/>
              <w:pageBreakBefore w:val="0"/>
              <w:widowControl w:val="0"/>
              <w:kinsoku/>
              <w:wordWrap/>
              <w:topLinePunct w:val="0"/>
              <w:bidi w:val="0"/>
              <w:snapToGrid w:val="0"/>
              <w:jc w:val="center"/>
              <w:rPr>
                <w:rFonts w:hint="eastAsia" w:ascii="仿宋" w:hAnsi="仿宋" w:eastAsia="仿宋" w:cs="仿宋"/>
                <w:b/>
                <w:color w:val="000000"/>
                <w:spacing w:val="-12"/>
                <w:kern w:val="0"/>
                <w:sz w:val="24"/>
                <w:szCs w:val="24"/>
              </w:rPr>
            </w:pPr>
            <w:r>
              <w:rPr>
                <w:rFonts w:hint="eastAsia" w:ascii="仿宋" w:hAnsi="仿宋" w:eastAsia="仿宋" w:cs="仿宋"/>
                <w:color w:val="000000"/>
                <w:spacing w:val="-12"/>
                <w:kern w:val="0"/>
                <w:sz w:val="24"/>
                <w:szCs w:val="24"/>
              </w:rPr>
              <w:t>主讲的高职课程</w:t>
            </w:r>
          </w:p>
        </w:tc>
        <w:tc>
          <w:tcPr>
            <w:tcW w:w="7548"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2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学校推荐意见</w:t>
            </w:r>
          </w:p>
        </w:tc>
        <w:tc>
          <w:tcPr>
            <w:tcW w:w="7548"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ind w:right="-693" w:rightChars="-330"/>
              <w:jc w:val="center"/>
              <w:rPr>
                <w:rFonts w:hint="eastAsia" w:ascii="仿宋" w:hAnsi="仿宋" w:eastAsia="仿宋" w:cs="仿宋"/>
                <w:color w:val="000000"/>
                <w:spacing w:val="-12"/>
                <w:kern w:val="0"/>
                <w:sz w:val="24"/>
                <w:szCs w:val="24"/>
              </w:rPr>
            </w:pPr>
          </w:p>
          <w:p>
            <w:pPr>
              <w:keepNext w:val="0"/>
              <w:keepLines w:val="0"/>
              <w:pageBreakBefore w:val="0"/>
              <w:widowControl w:val="0"/>
              <w:kinsoku/>
              <w:wordWrap/>
              <w:topLinePunct w:val="0"/>
              <w:bidi w:val="0"/>
              <w:snapToGrid w:val="0"/>
              <w:ind w:right="-693" w:rightChars="-330"/>
              <w:jc w:val="center"/>
              <w:rPr>
                <w:rFonts w:hint="eastAsia" w:ascii="仿宋" w:hAnsi="仿宋" w:eastAsia="仿宋" w:cs="仿宋"/>
                <w:color w:val="000000"/>
                <w:spacing w:val="-12"/>
                <w:kern w:val="0"/>
                <w:sz w:val="24"/>
                <w:szCs w:val="24"/>
              </w:rPr>
            </w:pPr>
            <w:r>
              <w:rPr>
                <w:rFonts w:hint="eastAsia" w:ascii="仿宋" w:hAnsi="仿宋" w:eastAsia="仿宋" w:cs="仿宋"/>
                <w:color w:val="000000"/>
                <w:spacing w:val="-12"/>
                <w:kern w:val="0"/>
                <w:sz w:val="24"/>
                <w:szCs w:val="24"/>
              </w:rPr>
              <w:t>（盖章）    年  月  日</w:t>
            </w:r>
          </w:p>
        </w:tc>
      </w:tr>
    </w:tbl>
    <w:p>
      <w:pPr>
        <w:keepNext w:val="0"/>
        <w:keepLines w:val="0"/>
        <w:pageBreakBefore w:val="0"/>
        <w:widowControl w:val="0"/>
        <w:kinsoku/>
        <w:wordWrap/>
        <w:topLinePunct w:val="0"/>
        <w:bidi w:val="0"/>
        <w:jc w:val="left"/>
        <w:rPr>
          <w:rFonts w:hint="eastAsia" w:ascii="仿宋_GB2312" w:hAnsi="黑体" w:cs="宋体"/>
          <w:color w:val="000000"/>
        </w:rPr>
        <w:sectPr>
          <w:footerReference r:id="rId4" w:type="default"/>
          <w:pgSz w:w="11906" w:h="16838"/>
          <w:pgMar w:top="1644" w:right="1361" w:bottom="2268" w:left="1531" w:header="0" w:footer="1814" w:gutter="0"/>
          <w:cols w:space="720" w:num="1"/>
          <w:docGrid w:type="linesAndChars" w:linePitch="587" w:charSpace="95"/>
        </w:sectPr>
      </w:pPr>
    </w:p>
    <w:p>
      <w:pPr>
        <w:keepNext w:val="0"/>
        <w:keepLines w:val="0"/>
        <w:pageBreakBefore w:val="0"/>
        <w:widowControl w:val="0"/>
        <w:kinsoku/>
        <w:wordWrap/>
        <w:topLinePunct w:val="0"/>
        <w:bidi w:val="0"/>
        <w:rPr>
          <w:rFonts w:ascii="黑体" w:hAnsi="黑体" w:eastAsia="黑体"/>
          <w:color w:val="000000"/>
          <w:sz w:val="32"/>
          <w:szCs w:val="32"/>
        </w:rPr>
      </w:pPr>
      <w:r>
        <w:rPr>
          <w:rFonts w:hint="eastAsia" w:ascii="黑体" w:hAnsi="黑体" w:eastAsia="黑体"/>
          <w:color w:val="000000"/>
          <w:sz w:val="32"/>
          <w:szCs w:val="32"/>
        </w:rPr>
        <w:t>附件2-2</w:t>
      </w:r>
    </w:p>
    <w:p>
      <w:pPr>
        <w:keepNext w:val="0"/>
        <w:keepLines w:val="0"/>
        <w:pageBreakBefore w:val="0"/>
        <w:widowControl w:val="0"/>
        <w:kinsoku/>
        <w:wordWrap/>
        <w:topLinePunct w:val="0"/>
        <w:bidi w:val="0"/>
        <w:jc w:val="center"/>
        <w:rPr>
          <w:rFonts w:hint="eastAsia" w:ascii="方正小标宋简体" w:hAnsi="黑体" w:eastAsia="方正小标宋简体" w:cs="黑体"/>
          <w:color w:val="000000"/>
        </w:rPr>
      </w:pPr>
    </w:p>
    <w:p>
      <w:pPr>
        <w:keepNext w:val="0"/>
        <w:keepLines w:val="0"/>
        <w:pageBreakBefore w:val="0"/>
        <w:widowControl w:val="0"/>
        <w:kinsoku/>
        <w:wordWrap/>
        <w:topLinePunct w:val="0"/>
        <w:bidi w:val="0"/>
        <w:snapToGrid w:val="0"/>
        <w:jc w:val="center"/>
        <w:rPr>
          <w:rFonts w:hint="eastAsia" w:ascii="仿宋" w:hAnsi="仿宋" w:eastAsia="仿宋" w:cs="仿宋"/>
          <w:color w:val="000000"/>
          <w:sz w:val="44"/>
          <w:szCs w:val="44"/>
        </w:rPr>
      </w:pPr>
      <w:r>
        <w:rPr>
          <w:rFonts w:hint="eastAsia" w:ascii="方正小标宋简体" w:hAnsi="宋体" w:eastAsia="方正小标宋简体" w:cs="黑体"/>
          <w:sz w:val="44"/>
          <w:szCs w:val="28"/>
          <w:lang w:eastAsia="zh-CN"/>
        </w:rPr>
        <w:t>2023年郑州电力职业技术学院课堂教学创新大赛参赛推荐汇总表</w:t>
      </w:r>
    </w:p>
    <w:p>
      <w:pPr>
        <w:keepNext w:val="0"/>
        <w:keepLines w:val="0"/>
        <w:pageBreakBefore w:val="0"/>
        <w:widowControl w:val="0"/>
        <w:kinsoku/>
        <w:wordWrap/>
        <w:topLinePunct w:val="0"/>
        <w:bidi w:val="0"/>
        <w:snapToGrid w:val="0"/>
        <w:jc w:val="left"/>
        <w:rPr>
          <w:rFonts w:hint="eastAsia" w:ascii="仿宋_GB2312"/>
          <w:color w:val="000000"/>
          <w:sz w:val="24"/>
          <w:szCs w:val="24"/>
        </w:rPr>
      </w:pPr>
    </w:p>
    <w:p>
      <w:pPr>
        <w:keepNext w:val="0"/>
        <w:keepLines w:val="0"/>
        <w:pageBreakBefore w:val="0"/>
        <w:widowControl w:val="0"/>
        <w:kinsoku/>
        <w:wordWrap/>
        <w:topLinePunct w:val="0"/>
        <w:bidi w:val="0"/>
        <w:snapToGrid w:val="0"/>
        <w:jc w:val="left"/>
        <w:rPr>
          <w:rFonts w:hint="eastAsia"/>
          <w:color w:val="000000"/>
          <w:sz w:val="24"/>
          <w:szCs w:val="24"/>
        </w:rPr>
      </w:pPr>
      <w:r>
        <w:rPr>
          <w:rFonts w:hint="eastAsia" w:ascii="仿宋_GB2312"/>
          <w:color w:val="000000"/>
          <w:sz w:val="24"/>
          <w:szCs w:val="24"/>
        </w:rPr>
        <w:t>推荐单位（盖章）：                  单位联系人：          联系电话：             填表日期：  2023年  月  日</w:t>
      </w:r>
    </w:p>
    <w:tbl>
      <w:tblPr>
        <w:tblStyle w:val="6"/>
        <w:tblW w:w="0" w:type="auto"/>
        <w:jc w:val="center"/>
        <w:tblLayout w:type="fixed"/>
        <w:tblCellMar>
          <w:top w:w="0" w:type="dxa"/>
          <w:left w:w="108" w:type="dxa"/>
          <w:bottom w:w="0" w:type="dxa"/>
          <w:right w:w="108" w:type="dxa"/>
        </w:tblCellMar>
      </w:tblPr>
      <w:tblGrid>
        <w:gridCol w:w="568"/>
        <w:gridCol w:w="1020"/>
        <w:gridCol w:w="1087"/>
        <w:gridCol w:w="750"/>
        <w:gridCol w:w="1195"/>
        <w:gridCol w:w="1032"/>
        <w:gridCol w:w="1714"/>
        <w:gridCol w:w="1574"/>
        <w:gridCol w:w="1320"/>
        <w:gridCol w:w="1677"/>
        <w:gridCol w:w="1543"/>
        <w:gridCol w:w="815"/>
      </w:tblGrid>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序号</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姓名</w:t>
            </w: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出生年月</w:t>
            </w: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hint="eastAsia" w:ascii="黑体" w:hAnsi="等线" w:eastAsia="黑体" w:cs="等线"/>
                <w:color w:val="000000"/>
                <w:kern w:val="0"/>
                <w:sz w:val="24"/>
                <w:szCs w:val="24"/>
              </w:rPr>
            </w:pPr>
            <w:r>
              <w:rPr>
                <w:rFonts w:hint="eastAsia" w:ascii="黑体" w:hAnsi="等线" w:eastAsia="黑体" w:cs="等线"/>
                <w:color w:val="000000"/>
                <w:kern w:val="0"/>
                <w:sz w:val="24"/>
                <w:szCs w:val="24"/>
              </w:rPr>
              <w:t>学校</w:t>
            </w:r>
          </w:p>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教龄</w:t>
            </w: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学历/学位</w:t>
            </w: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职称</w:t>
            </w: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参赛组别</w:t>
            </w: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专业</w:t>
            </w: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参赛课程</w:t>
            </w: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hint="eastAsia" w:ascii="黑体" w:hAnsi="等线" w:eastAsia="黑体" w:cs="等线"/>
                <w:color w:val="000000"/>
                <w:kern w:val="0"/>
                <w:sz w:val="24"/>
                <w:szCs w:val="24"/>
              </w:rPr>
            </w:pPr>
            <w:r>
              <w:rPr>
                <w:rFonts w:hint="eastAsia" w:ascii="黑体" w:hAnsi="等线" w:eastAsia="黑体" w:cs="等线"/>
                <w:color w:val="000000"/>
                <w:kern w:val="0"/>
                <w:sz w:val="24"/>
                <w:szCs w:val="24"/>
              </w:rPr>
              <w:t>联系方式</w:t>
            </w:r>
          </w:p>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（手机）</w:t>
            </w: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电子邮箱</w:t>
            </w: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textAlignment w:val="center"/>
              <w:rPr>
                <w:rFonts w:ascii="黑体" w:hAnsi="等线" w:eastAsia="黑体" w:cs="等线"/>
                <w:color w:val="000000"/>
                <w:sz w:val="24"/>
                <w:szCs w:val="24"/>
              </w:rPr>
            </w:pPr>
            <w:r>
              <w:rPr>
                <w:rFonts w:hint="eastAsia" w:ascii="黑体" w:hAnsi="等线" w:eastAsia="黑体" w:cs="等线"/>
                <w:color w:val="000000"/>
                <w:kern w:val="0"/>
                <w:sz w:val="24"/>
                <w:szCs w:val="24"/>
              </w:rPr>
              <w:t>备注</w:t>
            </w:r>
          </w:p>
        </w:tc>
      </w:tr>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r>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r>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r>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color w:val="000000"/>
                <w:sz w:val="24"/>
                <w:szCs w:val="24"/>
              </w:rPr>
            </w:pPr>
          </w:p>
        </w:tc>
      </w:tr>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r>
      <w:tr>
        <w:tblPrEx>
          <w:tblCellMar>
            <w:top w:w="0" w:type="dxa"/>
            <w:left w:w="108" w:type="dxa"/>
            <w:bottom w:w="0" w:type="dxa"/>
            <w:right w:w="108" w:type="dxa"/>
          </w:tblCellMar>
        </w:tblPrEx>
        <w:trPr>
          <w:trHeight w:val="615" w:hRule="atLeast"/>
          <w:jc w:val="center"/>
        </w:trPr>
        <w:tc>
          <w:tcPr>
            <w:tcW w:w="5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0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08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75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19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03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71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57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320"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67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154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c>
          <w:tcPr>
            <w:tcW w:w="81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kinsoku/>
              <w:wordWrap/>
              <w:topLinePunct w:val="0"/>
              <w:bidi w:val="0"/>
              <w:snapToGrid w:val="0"/>
              <w:jc w:val="center"/>
              <w:rPr>
                <w:rFonts w:ascii="仿宋_GB2312" w:hAnsi="等线" w:cs="等线"/>
                <w:i/>
                <w:color w:val="000000"/>
                <w:sz w:val="24"/>
                <w:szCs w:val="24"/>
              </w:rPr>
            </w:pPr>
          </w:p>
        </w:tc>
      </w:tr>
    </w:tbl>
    <w:p>
      <w:pPr>
        <w:keepNext w:val="0"/>
        <w:keepLines w:val="0"/>
        <w:pageBreakBefore w:val="0"/>
        <w:widowControl w:val="0"/>
        <w:kinsoku/>
        <w:wordWrap/>
        <w:topLinePunct w:val="0"/>
        <w:bidi w:val="0"/>
        <w:jc w:val="left"/>
        <w:rPr>
          <w:rFonts w:ascii="黑体" w:hAnsi="黑体" w:eastAsia="黑体"/>
          <w:bCs/>
          <w:color w:val="000000"/>
          <w:sz w:val="32"/>
          <w:szCs w:val="32"/>
        </w:rPr>
        <w:sectPr>
          <w:footerReference r:id="rId5" w:type="default"/>
          <w:footerReference r:id="rId6" w:type="even"/>
          <w:pgSz w:w="16838" w:h="11906" w:orient="landscape"/>
          <w:pgMar w:top="1361" w:right="2268" w:bottom="1531" w:left="1644" w:header="0" w:footer="1814" w:gutter="0"/>
          <w:cols w:space="720" w:num="1"/>
          <w:docGrid w:type="lines" w:linePitch="587" w:charSpace="0"/>
        </w:sectPr>
      </w:pPr>
    </w:p>
    <w:p>
      <w:pPr>
        <w:keepNext w:val="0"/>
        <w:keepLines w:val="0"/>
        <w:pageBreakBefore w:val="0"/>
        <w:widowControl w:val="0"/>
        <w:kinsoku/>
        <w:wordWrap/>
        <w:topLinePunct w:val="0"/>
        <w:bidi w:val="0"/>
        <w:jc w:val="left"/>
        <w:rPr>
          <w:rFonts w:hint="eastAsia" w:ascii="黑体" w:hAnsi="黑体" w:eastAsia="黑体"/>
          <w:bCs/>
          <w:color w:val="000000"/>
          <w:sz w:val="32"/>
          <w:szCs w:val="32"/>
        </w:rPr>
      </w:pPr>
      <w:r>
        <w:rPr>
          <w:rFonts w:ascii="黑体" w:hAnsi="黑体" w:eastAsia="黑体"/>
          <w:bCs/>
          <w:color w:val="000000"/>
          <w:sz w:val="32"/>
          <w:szCs w:val="32"/>
        </w:rPr>
        <w:t>附件</w:t>
      </w:r>
      <w:r>
        <w:rPr>
          <w:rFonts w:hint="eastAsia" w:ascii="黑体" w:hAnsi="黑体" w:eastAsia="黑体"/>
          <w:bCs/>
          <w:color w:val="000000"/>
          <w:sz w:val="32"/>
          <w:szCs w:val="32"/>
        </w:rPr>
        <w:t>2-3</w:t>
      </w:r>
    </w:p>
    <w:p>
      <w:pPr>
        <w:keepNext w:val="0"/>
        <w:keepLines w:val="0"/>
        <w:pageBreakBefore w:val="0"/>
        <w:widowControl w:val="0"/>
        <w:kinsoku/>
        <w:wordWrap/>
        <w:topLinePunct w:val="0"/>
        <w:bidi w:val="0"/>
        <w:snapToGrid w:val="0"/>
        <w:jc w:val="center"/>
        <w:rPr>
          <w:rFonts w:hint="eastAsia" w:ascii="方正小标宋简体" w:hAnsi="宋体" w:eastAsia="方正小标宋简体" w:cs="黑体"/>
          <w:sz w:val="44"/>
          <w:szCs w:val="28"/>
          <w:lang w:eastAsia="zh-CN"/>
        </w:rPr>
      </w:pPr>
      <w:r>
        <w:rPr>
          <w:rFonts w:hint="eastAsia" w:ascii="方正小标宋简体" w:hAnsi="宋体" w:eastAsia="方正小标宋简体" w:cs="黑体"/>
          <w:sz w:val="44"/>
          <w:szCs w:val="28"/>
          <w:lang w:eastAsia="zh-CN"/>
        </w:rPr>
        <w:t>郑州电力职业技术学院课堂教学创新大赛</w:t>
      </w:r>
    </w:p>
    <w:p>
      <w:pPr>
        <w:keepNext w:val="0"/>
        <w:keepLines w:val="0"/>
        <w:pageBreakBefore w:val="0"/>
        <w:widowControl w:val="0"/>
        <w:kinsoku/>
        <w:wordWrap/>
        <w:topLinePunct w:val="0"/>
        <w:bidi w:val="0"/>
        <w:snapToGrid w:val="0"/>
        <w:jc w:val="center"/>
        <w:rPr>
          <w:rFonts w:hint="eastAsia" w:ascii="方正小标宋简体" w:hAnsi="宋体" w:eastAsia="方正小标宋简体" w:cs="黑体"/>
          <w:sz w:val="44"/>
          <w:szCs w:val="28"/>
          <w:lang w:eastAsia="zh-CN"/>
        </w:rPr>
      </w:pPr>
      <w:r>
        <w:rPr>
          <w:rFonts w:hint="eastAsia" w:ascii="方正小标宋简体" w:hAnsi="宋体" w:eastAsia="方正小标宋简体" w:cs="黑体"/>
          <w:sz w:val="44"/>
          <w:szCs w:val="28"/>
          <w:lang w:eastAsia="zh-CN"/>
        </w:rPr>
        <w:t>现场竞赛评判标准</w:t>
      </w:r>
    </w:p>
    <w:p>
      <w:pPr>
        <w:keepNext w:val="0"/>
        <w:keepLines w:val="0"/>
        <w:pageBreakBefore w:val="0"/>
        <w:widowControl w:val="0"/>
        <w:kinsoku/>
        <w:wordWrap/>
        <w:topLinePunct w:val="0"/>
        <w:bidi w:val="0"/>
        <w:snapToGrid w:val="0"/>
        <w:jc w:val="center"/>
        <w:rPr>
          <w:rFonts w:eastAsia="方正小标宋简体"/>
          <w:color w:val="000000"/>
          <w:sz w:val="36"/>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272"/>
        <w:gridCol w:w="5289"/>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8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评价项目</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评价要点</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85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说课程</w:t>
            </w:r>
          </w:p>
          <w:p>
            <w:pPr>
              <w:keepNext w:val="0"/>
              <w:keepLines w:val="0"/>
              <w:pageBreakBefore w:val="0"/>
              <w:widowControl w:val="0"/>
              <w:kinsoku/>
              <w:wordWrap/>
              <w:topLinePunct w:val="0"/>
              <w:bidi w:val="0"/>
              <w:snapToGrid w:val="0"/>
              <w:ind w:firstLine="723" w:firstLineChars="300"/>
              <w:jc w:val="left"/>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（30分）</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阐</w:t>
            </w:r>
            <w:r>
              <w:rPr>
                <w:rFonts w:hint="eastAsia" w:ascii="仿宋" w:hAnsi="仿宋" w:eastAsia="仿宋" w:cs="仿宋"/>
                <w:color w:val="000000"/>
                <w:spacing w:val="-6"/>
                <w:kern w:val="0"/>
                <w:sz w:val="24"/>
                <w:szCs w:val="24"/>
              </w:rPr>
              <w:t>明参赛课程的教学设计思路与实施路径，着重说明在课程教学组织过程中如何实现日常课堂教学有效提升，具有职业教育特色，达成课程育人目标。目标明确清晰，要点突出。</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8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小计</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8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课堂</w:t>
            </w:r>
          </w:p>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教学</w:t>
            </w:r>
          </w:p>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（60分）</w:t>
            </w:r>
          </w:p>
        </w:tc>
        <w:tc>
          <w:tcPr>
            <w:tcW w:w="12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教学内容</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教学内容充实饱满，具有创新性，反映专业发展前沿。</w:t>
            </w:r>
          </w:p>
        </w:tc>
        <w:tc>
          <w:tcPr>
            <w:tcW w:w="8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课程思政内容与专业教学内容紧密联系、有机融合。</w:t>
            </w:r>
          </w:p>
        </w:tc>
        <w:tc>
          <w:tcPr>
            <w:tcW w:w="8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12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教学组织与评价</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教学过程安排合理，教学方法运用灵活、恰当，具有创新性，合理有效运用现代信息技术。</w:t>
            </w:r>
          </w:p>
        </w:tc>
        <w:tc>
          <w:tcPr>
            <w:tcW w:w="8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p>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127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以学生为中心，体现教师的主导性和学生的主体性，善于启发学生思考，有效发挥学生学习的主动性。</w:t>
            </w:r>
          </w:p>
        </w:tc>
        <w:tc>
          <w:tcPr>
            <w:tcW w:w="8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12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关注教与学行为数据采集，针对目标要求开展教学评价，注重过程评价，科学评价学生的学习成果和学习成效。</w:t>
            </w:r>
          </w:p>
        </w:tc>
        <w:tc>
          <w:tcPr>
            <w:tcW w:w="8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教学特色</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体现专业特色，展现形式生动、新颖。</w:t>
            </w:r>
            <w:r>
              <w:rPr>
                <w:rFonts w:hint="eastAsia" w:ascii="仿宋" w:hAnsi="仿宋" w:eastAsia="仿宋" w:cs="仿宋"/>
                <w:color w:val="000000"/>
                <w:sz w:val="24"/>
                <w:szCs w:val="24"/>
              </w:rPr>
              <w:t>符合职业院校学情，突出职业教育类型特色。</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12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教学效果</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语言表达清晰流畅，精神面貌积极向上，感染力强，具有创新性，目标达成效果好。</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b/>
                <w:color w:val="000000"/>
                <w:kern w:val="0"/>
                <w:sz w:val="24"/>
                <w:szCs w:val="24"/>
              </w:rPr>
            </w:pPr>
          </w:p>
        </w:tc>
        <w:tc>
          <w:tcPr>
            <w:tcW w:w="65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小计</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853"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现场答辩</w:t>
            </w:r>
          </w:p>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（10分）</w:t>
            </w: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根据专家提问，完整、准确地回答，内容关联性强；逻辑清晰，条理分明；应变力强，语言流畅。</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853"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rPr>
                <w:rFonts w:hint="eastAsia" w:ascii="仿宋" w:hAnsi="仿宋" w:eastAsia="仿宋" w:cs="仿宋"/>
                <w:b/>
                <w:color w:val="000000"/>
                <w:kern w:val="0"/>
                <w:sz w:val="24"/>
                <w:szCs w:val="24"/>
              </w:rPr>
            </w:pPr>
          </w:p>
        </w:tc>
        <w:tc>
          <w:tcPr>
            <w:tcW w:w="5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小计</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b/>
                <w:color w:val="000000"/>
                <w:kern w:val="0"/>
                <w:sz w:val="24"/>
                <w:szCs w:val="24"/>
              </w:rPr>
              <w:t>总分</w:t>
            </w:r>
          </w:p>
        </w:tc>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r>
    </w:tbl>
    <w:p>
      <w:pPr>
        <w:pStyle w:val="2"/>
        <w:keepNext w:val="0"/>
        <w:keepLines w:val="0"/>
        <w:pageBreakBefore w:val="0"/>
        <w:widowControl w:val="0"/>
        <w:kinsoku/>
        <w:wordWrap/>
        <w:topLinePunct w:val="0"/>
        <w:bidi w:val="0"/>
        <w:spacing w:line="360" w:lineRule="auto"/>
        <w:jc w:val="both"/>
        <w:textAlignment w:val="auto"/>
        <w:rPr>
          <w:rFonts w:hint="eastAsia" w:ascii="仿宋" w:hAnsi="仿宋" w:eastAsia="仿宋" w:cs="仿宋"/>
          <w:color w:val="auto"/>
          <w:kern w:val="2"/>
          <w:sz w:val="30"/>
          <w:szCs w:val="30"/>
          <w:lang w:val="en-US" w:eastAsia="zh-CN"/>
        </w:rPr>
      </w:pPr>
    </w:p>
    <w:sectPr>
      <w:footerReference r:id="rId7" w:type="default"/>
      <w:pgSz w:w="11906" w:h="16838"/>
      <w:pgMar w:top="1431" w:right="1134" w:bottom="1925" w:left="1540" w:header="0" w:footer="1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AB0124-2385-4E1E-8800-4B2D4CA695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E716D2D4-7945-4CB8-AA02-A40A3D18CF4C}"/>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C586498F-A5AE-4C07-A2A3-67A3E0194045}"/>
  </w:font>
  <w:font w:name="仿宋">
    <w:panose1 w:val="02010609060101010101"/>
    <w:charset w:val="86"/>
    <w:family w:val="modern"/>
    <w:pitch w:val="default"/>
    <w:sig w:usb0="800002BF" w:usb1="38CF7CFA" w:usb2="00000016" w:usb3="00000000" w:csb0="00040001" w:csb1="00000000"/>
    <w:embedRegular r:id="rId4" w:fontKey="{4440F728-5B81-4DAD-A88E-BF87D43F0B9A}"/>
  </w:font>
  <w:font w:name="楷体">
    <w:panose1 w:val="02010609060101010101"/>
    <w:charset w:val="86"/>
    <w:family w:val="modern"/>
    <w:pitch w:val="default"/>
    <w:sig w:usb0="800002BF" w:usb1="38CF7CFA" w:usb2="00000016" w:usb3="00000000" w:csb0="00040001" w:csb1="00000000"/>
    <w:embedRegular r:id="rId5" w:fontKey="{F72B2DF8-A062-4D2D-B04F-7C1EC6B02F47}"/>
  </w:font>
  <w:font w:name="方正仿宋简体">
    <w:altName w:val="微软雅黑"/>
    <w:panose1 w:val="00000000000000000000"/>
    <w:charset w:val="86"/>
    <w:family w:val="auto"/>
    <w:pitch w:val="default"/>
    <w:sig w:usb0="00000000" w:usb1="00000000" w:usb2="00000010" w:usb3="00000000" w:csb0="00040000" w:csb1="00000000"/>
    <w:embedRegular r:id="rId6" w:fontKey="{380AE68A-A8F2-4BFB-931B-F83C1B7FA24E}"/>
  </w:font>
  <w:font w:name="楷体_GB2312">
    <w:altName w:val="楷体"/>
    <w:panose1 w:val="00000000000000000000"/>
    <w:charset w:val="00"/>
    <w:family w:val="auto"/>
    <w:pitch w:val="default"/>
    <w:sig w:usb0="00000000" w:usb1="00000000" w:usb2="00000000" w:usb3="00000000" w:csb0="00000000" w:csb1="00000000"/>
    <w:embedRegular r:id="rId7" w:fontKey="{2446A168-3305-4441-AF71-8283675333BC}"/>
  </w:font>
  <w:font w:name="等线">
    <w:altName w:val="微软雅黑"/>
    <w:panose1 w:val="02010600030101010101"/>
    <w:charset w:val="86"/>
    <w:family w:val="auto"/>
    <w:pitch w:val="default"/>
    <w:sig w:usb0="00000000" w:usb1="00000000" w:usb2="00000016" w:usb3="00000000" w:csb0="0004000F" w:csb1="00000000"/>
    <w:embedRegular r:id="rId8" w:fontKey="{69914B7B-E38F-4837-8BE7-548B39DEB54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6570" cy="37973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96570" cy="379730"/>
                      </a:xfrm>
                      <a:prstGeom prst="rect">
                        <a:avLst/>
                      </a:prstGeom>
                      <a:noFill/>
                      <a:ln>
                        <a:noFill/>
                      </a:ln>
                      <a:effectLst/>
                    </wps:spPr>
                    <wps:txbx>
                      <w:txbxContent>
                        <w:p>
                          <w:r>
                            <w:t xml:space="preserve">— </w:t>
                          </w:r>
                          <w:r>
                            <w:fldChar w:fldCharType="begin"/>
                          </w:r>
                          <w:r>
                            <w:instrText xml:space="preserve"> PAGE  \* MERGEFORMAT </w:instrText>
                          </w:r>
                          <w:r>
                            <w:fldChar w:fldCharType="separate"/>
                          </w:r>
                          <w:r>
                            <w:t>17</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29.9pt;width:39.1pt;mso-position-horizontal:outside;mso-position-horizontal-relative:margin;mso-wrap-style:none;z-index:251659264;mso-width-relative:page;mso-height-relative:page;" filled="f" stroked="f" coordsize="21600,21600" o:gfxdata="UEsDBAoAAAAAAIdO4kAAAAAAAAAAAAAAAAAEAAAAZHJzL1BLAwQUAAAACACHTuJAe+VPudIAAAAD&#10;AQAADwAAAGRycy9kb3ducmV2LnhtbE2PwU7DMBBE70j8g7VI3KjTStAQ4vRQqZfeKFUlbm68jSPs&#10;dWS7afL3LFzgstJoRjNv683knRgxpj6QguWiAIHUBtNTp+D4sXsqQaSsyWgXCBXMmGDT3N/VujLh&#10;Ru84HnInuIRSpRXYnIdKytRa9DotwoDE3iVErzPL2EkT9Y3LvZOroniRXvfEC1YPuLXYfh2uXsF6&#10;OgUcEm7x8zK20fZz6fazUo8Py+INRMYp/4XhB5/RoWGmc7iSScIp4Efy72VvXa5AnBU8v5Ygm1r+&#10;Z2++AVBLAwQUAAAACACHTuJAQRtTAP8BAAAPBAAADgAAAGRycy9lMm9Eb2MueG1srVNNb9swDL0P&#10;2H8QdF+cpFuzGnGKrkGGAV03oN0PkGU5FmaJAqXEzn79KNnO+nHpYReDpsgnvsen9XVvWnZU6DXY&#10;gi9mc86UlVBpuy/4r8fdh8+c+SBsJVqwquAn5fn15v27dedytYQG2kohIxDr884VvAnB5VnmZaOM&#10;8DNwytJhDWhEoF/cZxWKjtBNmy3n88usA6wcglTeU3Y7HPIREd8CCHWtpdqCPBhlw4CKqhWBKPlG&#10;O883adq6VjL8qGuvAmsLTkxD+tIlFJfxm23WIt+jcI2W4wjiLSO84GSEtnTpGWorgmAH1K+gjJYI&#10;Huowk2CygUhShFgs5i+0eWiEU4kLSe3dWXT//2Dl/fEnMl2REzizwtDCH1Uf2Bfo2TKq0zmfU9GD&#10;o7LQUzpWRqbe3YH87ZmF20bYvbpBhK5RoqLpFrEze9I64PgIUnbfoaJrxCFAAuprNBGQxGCETps5&#10;nTcTR5GU/Hh1+WlFJ5KOLlZXq4u0uUzkU7NDH74qMCwGBUdafAIXxzsf4jAin0riXRZ2um3T8lv7&#10;LEGFQ0Yl94zdkUqcfuAR+rIfpSmhOhEphMFZ9K4oaAD/cNaRqwpu6RFx1n6zJEs04BTgFJRTIKyk&#10;xoIHzobwNgxGPTjU+4ZwJ+FvSLqdTrTiYMMMo+Dkk8R29HQ04tP/VPXvHW/+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vlT7nSAAAAAwEAAA8AAAAAAAAAAQAgAAAAIgAAAGRycy9kb3ducmV2Lnht&#10;bFBLAQIUABQAAAAIAIdO4kBBG1MA/wEAAA8EAAAOAAAAAAAAAAEAIAAAACEBAABkcnMvZTJvRG9j&#10;LnhtbFBLBQYAAAAABgAGAFkBAACSBQAAAAA=&#10;">
              <v:fill on="f" focussize="0,0"/>
              <v:stroke on="f"/>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24</w:t>
    </w:r>
    <w:r>
      <w:rPr>
        <w:rFonts w:hint="eastAsia" w:ascii="仿宋_GB2312"/>
        <w:sz w:val="30"/>
        <w:szCs w:val="30"/>
      </w:rPr>
      <w:fldChar w:fldCharType="end"/>
    </w:r>
    <w:r>
      <w:rPr>
        <w:rFonts w:hint="eastAsia" w:ascii="仿宋_GB2312"/>
        <w:sz w:val="30"/>
        <w:szCs w:val="30"/>
      </w:rPr>
      <w:t xml:space="preserve"> </w:t>
    </w:r>
    <w:r>
      <w:rPr>
        <w:rStyle w:val="9"/>
        <w:rFonts w:hint="eastAsia" w:ascii="仿宋_GB2312"/>
        <w:sz w:val="30"/>
        <w:szCs w:val="30"/>
      </w:rPr>
      <w:t>—</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hint="eastAsia" w:ascii="仿宋_GB2312"/>
        <w:sz w:val="30"/>
        <w:szCs w:val="30"/>
      </w:rPr>
    </w:pPr>
    <w:r>
      <w:rPr>
        <w:rStyle w:val="9"/>
        <w:rFonts w:hint="eastAsia" w:ascii="仿宋_GB2312"/>
        <w:sz w:val="30"/>
        <w:szCs w:val="30"/>
      </w:rPr>
      <w:t xml:space="preserve">— </w:t>
    </w:r>
    <w:r>
      <w:rPr>
        <w:rStyle w:val="9"/>
        <w:rFonts w:hint="eastAsia" w:ascii="仿宋_GB2312"/>
        <w:sz w:val="30"/>
        <w:szCs w:val="30"/>
      </w:rPr>
      <w:fldChar w:fldCharType="begin"/>
    </w:r>
    <w:r>
      <w:rPr>
        <w:rStyle w:val="9"/>
        <w:rFonts w:hint="eastAsia" w:ascii="仿宋_GB2312"/>
        <w:sz w:val="30"/>
        <w:szCs w:val="30"/>
      </w:rPr>
      <w:instrText xml:space="preserve"> PAGE </w:instrText>
    </w:r>
    <w:r>
      <w:rPr>
        <w:rStyle w:val="9"/>
        <w:rFonts w:hint="eastAsia" w:ascii="仿宋_GB2312"/>
        <w:sz w:val="30"/>
        <w:szCs w:val="30"/>
      </w:rPr>
      <w:fldChar w:fldCharType="separate"/>
    </w:r>
    <w:r>
      <w:rPr>
        <w:rStyle w:val="9"/>
        <w:rFonts w:ascii="仿宋_GB2312"/>
        <w:sz w:val="30"/>
        <w:szCs w:val="30"/>
      </w:rPr>
      <w:t>25</w:t>
    </w:r>
    <w:r>
      <w:rPr>
        <w:rStyle w:val="9"/>
        <w:rFonts w:hint="eastAsia" w:ascii="仿宋_GB2312"/>
        <w:sz w:val="30"/>
        <w:szCs w:val="30"/>
      </w:rPr>
      <w:fldChar w:fldCharType="end"/>
    </w:r>
    <w:r>
      <w:rPr>
        <w:rStyle w:val="9"/>
        <w:rFonts w:hint="eastAsia" w:ascii="仿宋_GB2312"/>
        <w:sz w:val="30"/>
        <w:szCs w:val="30"/>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exact"/>
      <w:ind w:firstLine="12425"/>
      <w:rPr>
        <w:rFonts w:ascii="仿宋" w:hAnsi="仿宋" w:eastAsia="仿宋" w:cs="仿宋"/>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YjhkMzFjYjg4MTQxYTIyNmQwZmI0OTU2NzM1NTIifQ=="/>
  </w:docVars>
  <w:rsids>
    <w:rsidRoot w:val="00180815"/>
    <w:rsid w:val="00005DAF"/>
    <w:rsid w:val="00014BBD"/>
    <w:rsid w:val="00017FE5"/>
    <w:rsid w:val="00020D5A"/>
    <w:rsid w:val="0003625E"/>
    <w:rsid w:val="00040691"/>
    <w:rsid w:val="00041021"/>
    <w:rsid w:val="0005355C"/>
    <w:rsid w:val="000556C5"/>
    <w:rsid w:val="00062BAD"/>
    <w:rsid w:val="0006554D"/>
    <w:rsid w:val="0007379B"/>
    <w:rsid w:val="00074119"/>
    <w:rsid w:val="00075787"/>
    <w:rsid w:val="00083A43"/>
    <w:rsid w:val="000942C8"/>
    <w:rsid w:val="000A6799"/>
    <w:rsid w:val="000B1E52"/>
    <w:rsid w:val="000C38BB"/>
    <w:rsid w:val="000C3EDB"/>
    <w:rsid w:val="000D611F"/>
    <w:rsid w:val="000D7892"/>
    <w:rsid w:val="00101696"/>
    <w:rsid w:val="00101FF5"/>
    <w:rsid w:val="00111428"/>
    <w:rsid w:val="00114AEA"/>
    <w:rsid w:val="00115CDD"/>
    <w:rsid w:val="00123E0A"/>
    <w:rsid w:val="001359D2"/>
    <w:rsid w:val="001443DB"/>
    <w:rsid w:val="00145511"/>
    <w:rsid w:val="00161E43"/>
    <w:rsid w:val="00167D65"/>
    <w:rsid w:val="001737EB"/>
    <w:rsid w:val="00180815"/>
    <w:rsid w:val="00186A64"/>
    <w:rsid w:val="00196709"/>
    <w:rsid w:val="00196A95"/>
    <w:rsid w:val="00197A4C"/>
    <w:rsid w:val="001A53ED"/>
    <w:rsid w:val="001B74B6"/>
    <w:rsid w:val="001E64BE"/>
    <w:rsid w:val="00214B2E"/>
    <w:rsid w:val="0022395E"/>
    <w:rsid w:val="0028212B"/>
    <w:rsid w:val="002839EE"/>
    <w:rsid w:val="00283C01"/>
    <w:rsid w:val="00287308"/>
    <w:rsid w:val="00296240"/>
    <w:rsid w:val="002A2378"/>
    <w:rsid w:val="002A3DC3"/>
    <w:rsid w:val="002A5430"/>
    <w:rsid w:val="002B760B"/>
    <w:rsid w:val="002C16D6"/>
    <w:rsid w:val="002C3CAC"/>
    <w:rsid w:val="002D020D"/>
    <w:rsid w:val="002D3962"/>
    <w:rsid w:val="002D44B4"/>
    <w:rsid w:val="002E23D3"/>
    <w:rsid w:val="002E5385"/>
    <w:rsid w:val="002E6071"/>
    <w:rsid w:val="002F62B1"/>
    <w:rsid w:val="00336119"/>
    <w:rsid w:val="0034795E"/>
    <w:rsid w:val="00356D61"/>
    <w:rsid w:val="0037216B"/>
    <w:rsid w:val="00373FF5"/>
    <w:rsid w:val="00375D92"/>
    <w:rsid w:val="00380771"/>
    <w:rsid w:val="00391E2F"/>
    <w:rsid w:val="003A3FA4"/>
    <w:rsid w:val="003B2116"/>
    <w:rsid w:val="003C04DF"/>
    <w:rsid w:val="003E69A2"/>
    <w:rsid w:val="003F7BE9"/>
    <w:rsid w:val="00401870"/>
    <w:rsid w:val="0040370C"/>
    <w:rsid w:val="00421098"/>
    <w:rsid w:val="00427B8C"/>
    <w:rsid w:val="0045039D"/>
    <w:rsid w:val="004549EB"/>
    <w:rsid w:val="004612C1"/>
    <w:rsid w:val="00470302"/>
    <w:rsid w:val="004808D8"/>
    <w:rsid w:val="00484848"/>
    <w:rsid w:val="004937AE"/>
    <w:rsid w:val="004954BF"/>
    <w:rsid w:val="00497671"/>
    <w:rsid w:val="004A2ADD"/>
    <w:rsid w:val="004B34CC"/>
    <w:rsid w:val="004B770C"/>
    <w:rsid w:val="004C2BA7"/>
    <w:rsid w:val="004D21BA"/>
    <w:rsid w:val="004D647B"/>
    <w:rsid w:val="004E73E1"/>
    <w:rsid w:val="00574BBF"/>
    <w:rsid w:val="005804DA"/>
    <w:rsid w:val="00581535"/>
    <w:rsid w:val="00593CFC"/>
    <w:rsid w:val="00596AC7"/>
    <w:rsid w:val="005B42B4"/>
    <w:rsid w:val="005C2A90"/>
    <w:rsid w:val="005D262A"/>
    <w:rsid w:val="005D5A7C"/>
    <w:rsid w:val="00612579"/>
    <w:rsid w:val="0061767A"/>
    <w:rsid w:val="006347F0"/>
    <w:rsid w:val="00643862"/>
    <w:rsid w:val="00643F62"/>
    <w:rsid w:val="0064647E"/>
    <w:rsid w:val="0064776D"/>
    <w:rsid w:val="00657165"/>
    <w:rsid w:val="00693009"/>
    <w:rsid w:val="006A23EF"/>
    <w:rsid w:val="006C1E76"/>
    <w:rsid w:val="00706DB6"/>
    <w:rsid w:val="007134E4"/>
    <w:rsid w:val="0072127D"/>
    <w:rsid w:val="007341E4"/>
    <w:rsid w:val="0073651C"/>
    <w:rsid w:val="007524A7"/>
    <w:rsid w:val="00757927"/>
    <w:rsid w:val="00777C74"/>
    <w:rsid w:val="00786599"/>
    <w:rsid w:val="007A1AE2"/>
    <w:rsid w:val="007A4E93"/>
    <w:rsid w:val="007A5F9A"/>
    <w:rsid w:val="007B5486"/>
    <w:rsid w:val="007B558D"/>
    <w:rsid w:val="007C5A8C"/>
    <w:rsid w:val="007D044F"/>
    <w:rsid w:val="007E1F19"/>
    <w:rsid w:val="00800941"/>
    <w:rsid w:val="00802AA4"/>
    <w:rsid w:val="008033F2"/>
    <w:rsid w:val="0081021B"/>
    <w:rsid w:val="0081758E"/>
    <w:rsid w:val="008264D1"/>
    <w:rsid w:val="00827159"/>
    <w:rsid w:val="00831C6E"/>
    <w:rsid w:val="00854AEC"/>
    <w:rsid w:val="00860E08"/>
    <w:rsid w:val="00861248"/>
    <w:rsid w:val="008733D5"/>
    <w:rsid w:val="00874CED"/>
    <w:rsid w:val="008867E1"/>
    <w:rsid w:val="00896201"/>
    <w:rsid w:val="008B1BD8"/>
    <w:rsid w:val="008C0BD0"/>
    <w:rsid w:val="008E0574"/>
    <w:rsid w:val="008E1395"/>
    <w:rsid w:val="008F149B"/>
    <w:rsid w:val="00905C77"/>
    <w:rsid w:val="009325CA"/>
    <w:rsid w:val="00934447"/>
    <w:rsid w:val="009871BF"/>
    <w:rsid w:val="00987FFA"/>
    <w:rsid w:val="009A0616"/>
    <w:rsid w:val="009A522D"/>
    <w:rsid w:val="009B314E"/>
    <w:rsid w:val="009C548A"/>
    <w:rsid w:val="009D67DE"/>
    <w:rsid w:val="00A0299D"/>
    <w:rsid w:val="00A04EBC"/>
    <w:rsid w:val="00A11F79"/>
    <w:rsid w:val="00A21394"/>
    <w:rsid w:val="00A33289"/>
    <w:rsid w:val="00A46ADC"/>
    <w:rsid w:val="00A540FD"/>
    <w:rsid w:val="00A93C35"/>
    <w:rsid w:val="00AA2DFF"/>
    <w:rsid w:val="00AA33E9"/>
    <w:rsid w:val="00AE1BC6"/>
    <w:rsid w:val="00AE652B"/>
    <w:rsid w:val="00AF246D"/>
    <w:rsid w:val="00B043F0"/>
    <w:rsid w:val="00B073EF"/>
    <w:rsid w:val="00B20408"/>
    <w:rsid w:val="00B2336D"/>
    <w:rsid w:val="00B25804"/>
    <w:rsid w:val="00B33E67"/>
    <w:rsid w:val="00B55FA0"/>
    <w:rsid w:val="00B577A9"/>
    <w:rsid w:val="00B5782C"/>
    <w:rsid w:val="00B61716"/>
    <w:rsid w:val="00B65F4C"/>
    <w:rsid w:val="00B83099"/>
    <w:rsid w:val="00BA35D4"/>
    <w:rsid w:val="00BA7446"/>
    <w:rsid w:val="00BC008B"/>
    <w:rsid w:val="00BC54F8"/>
    <w:rsid w:val="00C0715C"/>
    <w:rsid w:val="00C2308C"/>
    <w:rsid w:val="00C40D6F"/>
    <w:rsid w:val="00C52E59"/>
    <w:rsid w:val="00C5582E"/>
    <w:rsid w:val="00C7074C"/>
    <w:rsid w:val="00C7115D"/>
    <w:rsid w:val="00C73C2B"/>
    <w:rsid w:val="00CA018F"/>
    <w:rsid w:val="00CC4A02"/>
    <w:rsid w:val="00CD26EE"/>
    <w:rsid w:val="00CF20A6"/>
    <w:rsid w:val="00CF79CA"/>
    <w:rsid w:val="00D26FF5"/>
    <w:rsid w:val="00D32C0C"/>
    <w:rsid w:val="00D34BBD"/>
    <w:rsid w:val="00D51C9C"/>
    <w:rsid w:val="00D533EE"/>
    <w:rsid w:val="00D62681"/>
    <w:rsid w:val="00D8775E"/>
    <w:rsid w:val="00D90AB9"/>
    <w:rsid w:val="00D93E89"/>
    <w:rsid w:val="00DA04E6"/>
    <w:rsid w:val="00DA4B43"/>
    <w:rsid w:val="00DC7D3F"/>
    <w:rsid w:val="00DF4ADA"/>
    <w:rsid w:val="00E00E4A"/>
    <w:rsid w:val="00E0779A"/>
    <w:rsid w:val="00E2735B"/>
    <w:rsid w:val="00E504C4"/>
    <w:rsid w:val="00E525E0"/>
    <w:rsid w:val="00E64249"/>
    <w:rsid w:val="00E676F3"/>
    <w:rsid w:val="00E74FF3"/>
    <w:rsid w:val="00E81B27"/>
    <w:rsid w:val="00E87C09"/>
    <w:rsid w:val="00E92E51"/>
    <w:rsid w:val="00E934F1"/>
    <w:rsid w:val="00E93AFA"/>
    <w:rsid w:val="00E977B4"/>
    <w:rsid w:val="00EA4CF4"/>
    <w:rsid w:val="00EB2CAC"/>
    <w:rsid w:val="00EC5008"/>
    <w:rsid w:val="00ED164F"/>
    <w:rsid w:val="00ED5DDA"/>
    <w:rsid w:val="00EE3C19"/>
    <w:rsid w:val="00EE56A3"/>
    <w:rsid w:val="00EF3C23"/>
    <w:rsid w:val="00F00B0C"/>
    <w:rsid w:val="00F0135A"/>
    <w:rsid w:val="00F031C0"/>
    <w:rsid w:val="00F51559"/>
    <w:rsid w:val="00F5185A"/>
    <w:rsid w:val="00F61287"/>
    <w:rsid w:val="00F709BA"/>
    <w:rsid w:val="00F75995"/>
    <w:rsid w:val="00F9124E"/>
    <w:rsid w:val="00F93F82"/>
    <w:rsid w:val="00FA0054"/>
    <w:rsid w:val="00FD5F4B"/>
    <w:rsid w:val="00FD60C6"/>
    <w:rsid w:val="00FE1DCE"/>
    <w:rsid w:val="00FE55E4"/>
    <w:rsid w:val="0159126E"/>
    <w:rsid w:val="01B72E84"/>
    <w:rsid w:val="035A49AF"/>
    <w:rsid w:val="039D4E94"/>
    <w:rsid w:val="03C6441F"/>
    <w:rsid w:val="0557665A"/>
    <w:rsid w:val="059E6AD2"/>
    <w:rsid w:val="06B0469B"/>
    <w:rsid w:val="07823D84"/>
    <w:rsid w:val="085C25E6"/>
    <w:rsid w:val="088464AC"/>
    <w:rsid w:val="09715C93"/>
    <w:rsid w:val="09AD03A9"/>
    <w:rsid w:val="0A4C459C"/>
    <w:rsid w:val="0A62097B"/>
    <w:rsid w:val="0C0961D1"/>
    <w:rsid w:val="0C396D85"/>
    <w:rsid w:val="0CA70070"/>
    <w:rsid w:val="0DDC40DA"/>
    <w:rsid w:val="0FBB10D2"/>
    <w:rsid w:val="10562911"/>
    <w:rsid w:val="11294111"/>
    <w:rsid w:val="11B80BF3"/>
    <w:rsid w:val="13B507A1"/>
    <w:rsid w:val="13ED6D30"/>
    <w:rsid w:val="165E71E2"/>
    <w:rsid w:val="16BC4406"/>
    <w:rsid w:val="16DD0A63"/>
    <w:rsid w:val="17064C8B"/>
    <w:rsid w:val="17C02838"/>
    <w:rsid w:val="19E35721"/>
    <w:rsid w:val="1A052C1D"/>
    <w:rsid w:val="1AD6308D"/>
    <w:rsid w:val="1B043F5E"/>
    <w:rsid w:val="202154EF"/>
    <w:rsid w:val="204C65C0"/>
    <w:rsid w:val="2122382C"/>
    <w:rsid w:val="21530617"/>
    <w:rsid w:val="21BA04D3"/>
    <w:rsid w:val="21EF6071"/>
    <w:rsid w:val="22EB357C"/>
    <w:rsid w:val="230845E0"/>
    <w:rsid w:val="25166E17"/>
    <w:rsid w:val="259957D2"/>
    <w:rsid w:val="25E92727"/>
    <w:rsid w:val="26871AC1"/>
    <w:rsid w:val="274A3F40"/>
    <w:rsid w:val="284A4D73"/>
    <w:rsid w:val="28906085"/>
    <w:rsid w:val="293D1391"/>
    <w:rsid w:val="29437F8A"/>
    <w:rsid w:val="29B87D53"/>
    <w:rsid w:val="2A0C1CB8"/>
    <w:rsid w:val="2A682DCC"/>
    <w:rsid w:val="2AFB5498"/>
    <w:rsid w:val="2B5D5D70"/>
    <w:rsid w:val="2BA766FC"/>
    <w:rsid w:val="2C684A7F"/>
    <w:rsid w:val="2CC047FA"/>
    <w:rsid w:val="2D0E7361"/>
    <w:rsid w:val="2D460049"/>
    <w:rsid w:val="2DA37B6F"/>
    <w:rsid w:val="2E003932"/>
    <w:rsid w:val="2FA43B65"/>
    <w:rsid w:val="304069BB"/>
    <w:rsid w:val="30C34F8E"/>
    <w:rsid w:val="30CA4B2B"/>
    <w:rsid w:val="3389405C"/>
    <w:rsid w:val="354E7254"/>
    <w:rsid w:val="360A1F9F"/>
    <w:rsid w:val="36B14785"/>
    <w:rsid w:val="37077A97"/>
    <w:rsid w:val="371A1B6C"/>
    <w:rsid w:val="386C12AB"/>
    <w:rsid w:val="38F850C1"/>
    <w:rsid w:val="38FD1E0B"/>
    <w:rsid w:val="39F41067"/>
    <w:rsid w:val="3A0228EC"/>
    <w:rsid w:val="3CBA7D0C"/>
    <w:rsid w:val="3E456D30"/>
    <w:rsid w:val="3FD44D7F"/>
    <w:rsid w:val="4135788C"/>
    <w:rsid w:val="42B1140C"/>
    <w:rsid w:val="43233329"/>
    <w:rsid w:val="448858E6"/>
    <w:rsid w:val="45AC0736"/>
    <w:rsid w:val="464F0148"/>
    <w:rsid w:val="46C26276"/>
    <w:rsid w:val="47174AD8"/>
    <w:rsid w:val="472C3C11"/>
    <w:rsid w:val="47FE0BD2"/>
    <w:rsid w:val="49BC3934"/>
    <w:rsid w:val="4A171AF3"/>
    <w:rsid w:val="4A2D5FE2"/>
    <w:rsid w:val="4A542A4F"/>
    <w:rsid w:val="4C6E2B99"/>
    <w:rsid w:val="4CE74FC6"/>
    <w:rsid w:val="4DDD2C2F"/>
    <w:rsid w:val="4E915170"/>
    <w:rsid w:val="4EC95EA5"/>
    <w:rsid w:val="503D5991"/>
    <w:rsid w:val="50885BC4"/>
    <w:rsid w:val="5195458C"/>
    <w:rsid w:val="51A057B6"/>
    <w:rsid w:val="51E743FD"/>
    <w:rsid w:val="523C785E"/>
    <w:rsid w:val="53636464"/>
    <w:rsid w:val="537E2D96"/>
    <w:rsid w:val="54DA4AA4"/>
    <w:rsid w:val="55161280"/>
    <w:rsid w:val="56B67E8B"/>
    <w:rsid w:val="57134B64"/>
    <w:rsid w:val="5758509E"/>
    <w:rsid w:val="58B42629"/>
    <w:rsid w:val="595C526D"/>
    <w:rsid w:val="5B2C2DA1"/>
    <w:rsid w:val="5B3A12A8"/>
    <w:rsid w:val="5CB50EE1"/>
    <w:rsid w:val="5CBC7B63"/>
    <w:rsid w:val="601C7E68"/>
    <w:rsid w:val="604175CE"/>
    <w:rsid w:val="610A4654"/>
    <w:rsid w:val="622A6C8E"/>
    <w:rsid w:val="625F0227"/>
    <w:rsid w:val="626E5E62"/>
    <w:rsid w:val="62742F9C"/>
    <w:rsid w:val="627C6E1F"/>
    <w:rsid w:val="62EB3745"/>
    <w:rsid w:val="63DB36BD"/>
    <w:rsid w:val="63F4353C"/>
    <w:rsid w:val="643248BA"/>
    <w:rsid w:val="65F071E3"/>
    <w:rsid w:val="660B42C8"/>
    <w:rsid w:val="66393280"/>
    <w:rsid w:val="67A347DD"/>
    <w:rsid w:val="68137702"/>
    <w:rsid w:val="68395EFE"/>
    <w:rsid w:val="68F43C70"/>
    <w:rsid w:val="69051B7B"/>
    <w:rsid w:val="69EA4DB8"/>
    <w:rsid w:val="6B17268F"/>
    <w:rsid w:val="6DA0423A"/>
    <w:rsid w:val="6E1B079F"/>
    <w:rsid w:val="6E25180C"/>
    <w:rsid w:val="6FCB43AA"/>
    <w:rsid w:val="702736BD"/>
    <w:rsid w:val="717E37C0"/>
    <w:rsid w:val="71D933C3"/>
    <w:rsid w:val="72064439"/>
    <w:rsid w:val="72E80A47"/>
    <w:rsid w:val="734F741A"/>
    <w:rsid w:val="73797FC7"/>
    <w:rsid w:val="737A5D92"/>
    <w:rsid w:val="73A63C37"/>
    <w:rsid w:val="761A3081"/>
    <w:rsid w:val="766B3440"/>
    <w:rsid w:val="767879A6"/>
    <w:rsid w:val="77C46817"/>
    <w:rsid w:val="78E16A51"/>
    <w:rsid w:val="791B6791"/>
    <w:rsid w:val="799019A6"/>
    <w:rsid w:val="799B3EBA"/>
    <w:rsid w:val="79E71DA7"/>
    <w:rsid w:val="7A133A65"/>
    <w:rsid w:val="7A196A33"/>
    <w:rsid w:val="7A7124EC"/>
    <w:rsid w:val="7AE27FA8"/>
    <w:rsid w:val="7B833617"/>
    <w:rsid w:val="7DD96188"/>
    <w:rsid w:val="7E7D4B8B"/>
    <w:rsid w:val="7EB000A1"/>
    <w:rsid w:val="7FE94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unhideWhenUsed/>
    <w:qFormat/>
    <w:uiPriority w:val="99"/>
    <w:rPr>
      <w:color w:val="0000FF" w:themeColor="hyperlink"/>
      <w:u w:val="single"/>
    </w:rPr>
  </w:style>
  <w:style w:type="paragraph" w:customStyle="1" w:styleId="11">
    <w:name w:val="Char1"/>
    <w:basedOn w:val="1"/>
    <w:semiHidden/>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fontstyle01"/>
    <w:basedOn w:val="8"/>
    <w:qFormat/>
    <w:uiPriority w:val="0"/>
    <w:rPr>
      <w:rFonts w:hint="default" w:ascii="仿宋_GB2312" w:hAnsi="仿宋_GB2312"/>
      <w:color w:val="000000"/>
      <w:sz w:val="32"/>
      <w:szCs w:val="32"/>
    </w:rPr>
  </w:style>
  <w:style w:type="character" w:customStyle="1" w:styleId="15">
    <w:name w:val="fontstyle11"/>
    <w:basedOn w:val="8"/>
    <w:qFormat/>
    <w:uiPriority w:val="0"/>
    <w:rPr>
      <w:rFonts w:hint="default" w:ascii="TimesNewRomanPSMT" w:hAnsi="TimesNewRomanPSMT"/>
      <w:color w:val="000000"/>
      <w:sz w:val="32"/>
      <w:szCs w:val="32"/>
    </w:rPr>
  </w:style>
  <w:style w:type="character" w:customStyle="1" w:styleId="16">
    <w:name w:val="tbnn_title1"/>
    <w:basedOn w:val="8"/>
    <w:qFormat/>
    <w:uiPriority w:val="0"/>
    <w:rPr>
      <w:rFonts w:ascii="Times New Roman" w:hAnsi="Times New Roman" w:cs="Times New Roman"/>
    </w:rPr>
  </w:style>
  <w:style w:type="paragraph" w:customStyle="1" w:styleId="17">
    <w:name w:val="标题 11"/>
    <w:basedOn w:val="1"/>
    <w:qFormat/>
    <w:uiPriority w:val="1"/>
    <w:pPr>
      <w:autoSpaceDE w:val="0"/>
      <w:autoSpaceDN w:val="0"/>
      <w:adjustRightInd w:val="0"/>
      <w:ind w:left="422" w:hanging="2751"/>
      <w:jc w:val="left"/>
      <w:outlineLvl w:val="0"/>
    </w:pPr>
    <w:rPr>
      <w:rFonts w:ascii="方正小标宋简体" w:hAnsi="Times New Roman" w:eastAsia="方正小标宋简体" w:cs="方正小标宋简体"/>
      <w:kern w:val="0"/>
      <w:sz w:val="44"/>
      <w:szCs w:val="44"/>
    </w:rPr>
  </w:style>
  <w:style w:type="paragraph" w:styleId="18">
    <w:name w:val="List Paragraph"/>
    <w:basedOn w:val="1"/>
    <w:unhideWhenUsed/>
    <w:qFormat/>
    <w:uiPriority w:val="99"/>
    <w:pPr>
      <w:ind w:firstLine="420" w:firstLineChars="200"/>
    </w:pPr>
  </w:style>
  <w:style w:type="paragraph" w:customStyle="1" w:styleId="19">
    <w:name w:val="无间隔1"/>
    <w:basedOn w:val="1"/>
    <w:qFormat/>
    <w:uiPriority w:val="0"/>
    <w:rPr>
      <w:rFonts w:ascii="Times New Roman" w:hAnsi="Times New Roman" w:eastAsia="宋体"/>
      <w:szCs w:val="21"/>
    </w:rPr>
  </w:style>
  <w:style w:type="paragraph" w:customStyle="1" w:styleId="20">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16"/>
    <w:basedOn w:val="8"/>
    <w:qFormat/>
    <w:uiPriority w:val="0"/>
    <w:rPr>
      <w:rFonts w:hint="eastAsia" w:ascii="仿宋_GB2312" w:eastAsia="仿宋_GB2312"/>
      <w:color w:val="000000"/>
      <w:sz w:val="32"/>
      <w:szCs w:val="32"/>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Char"/>
    <w:basedOn w:val="1"/>
    <w:qFormat/>
    <w:uiPriority w:val="0"/>
    <w:rPr>
      <w:rFonts w:eastAsia="宋体"/>
      <w:sz w:val="21"/>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72510-27F4-4530-84D1-36B4CD4E394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14017</Words>
  <Characters>14563</Characters>
  <Lines>79</Lines>
  <Paragraphs>22</Paragraphs>
  <TotalTime>18</TotalTime>
  <ScaleCrop>false</ScaleCrop>
  <LinksUpToDate>false</LinksUpToDate>
  <CharactersWithSpaces>14799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2022-01-11T08:12:00Z</dcterms:created>
  <dc:creator>xbany</dc:creator>
  <cp:lastModifiedBy>Administrator</cp:lastModifiedBy>
  <cp:lastPrinted>2022-03-28T02:09:00Z</cp:lastPrinted>
  <dcterms:modified xsi:type="dcterms:W3CDTF">2023-04-17T03:57:32Z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189620790_btnclosed</vt:lpwstr>
  </property>
  <property fmtid="{D5CDD505-2E9C-101B-9397-08002B2CF9AE}" pid="4" name="ICV">
    <vt:lpwstr>DBA588C8C9194BE7BDF13243B2546B17</vt:lpwstr>
  </property>
</Properties>
</file>